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356EF" w14:textId="77777777" w:rsidR="001C590E" w:rsidRDefault="001C590E" w:rsidP="001C590E">
      <w:pPr>
        <w:jc w:val="center"/>
        <w:rPr>
          <w:rStyle w:val="IntenseReference"/>
          <w:color w:val="44546A" w:themeColor="text2"/>
          <w:szCs w:val="24"/>
        </w:rPr>
      </w:pPr>
      <w:r w:rsidRPr="00A3760A">
        <w:rPr>
          <w:rStyle w:val="IntenseReference"/>
          <w:noProof/>
          <w:color w:val="44546A" w:themeColor="text2"/>
          <w:szCs w:val="24"/>
        </w:rPr>
        <w:drawing>
          <wp:inline distT="0" distB="0" distL="0" distR="0" wp14:anchorId="30BAD7D4" wp14:editId="0AF6AC12">
            <wp:extent cx="902335" cy="9086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2335" cy="908685"/>
                    </a:xfrm>
                    <a:prstGeom prst="rect">
                      <a:avLst/>
                    </a:prstGeom>
                    <a:noFill/>
                  </pic:spPr>
                </pic:pic>
              </a:graphicData>
            </a:graphic>
          </wp:inline>
        </w:drawing>
      </w:r>
    </w:p>
    <w:p w14:paraId="697505FB" w14:textId="3433F007" w:rsidR="001C590E" w:rsidRPr="001C590E" w:rsidRDefault="001C590E" w:rsidP="001C590E">
      <w:pPr>
        <w:spacing w:line="240" w:lineRule="auto"/>
        <w:jc w:val="center"/>
        <w:rPr>
          <w:rFonts w:ascii="Times New Roman" w:eastAsia="Times New Roman" w:hAnsi="Times New Roman" w:cs="Times New Roman"/>
          <w:color w:val="263238"/>
          <w:sz w:val="28"/>
          <w:szCs w:val="28"/>
          <w:u w:val="single"/>
          <w:shd w:val="clear" w:color="auto" w:fill="FFFFFF"/>
        </w:rPr>
      </w:pPr>
      <w:r w:rsidRPr="00A90CE8">
        <w:rPr>
          <w:rFonts w:ascii="Times New Roman" w:eastAsia="Times New Roman" w:hAnsi="Times New Roman" w:cs="Times New Roman"/>
          <w:color w:val="263238"/>
          <w:sz w:val="28"/>
          <w:szCs w:val="28"/>
          <w:u w:val="single"/>
          <w:shd w:val="clear" w:color="auto" w:fill="FFFFFF"/>
        </w:rPr>
        <w:t>Press Release</w:t>
      </w:r>
    </w:p>
    <w:p w14:paraId="68B486E8" w14:textId="61A7E921" w:rsidR="00CD189C" w:rsidRDefault="00CD189C">
      <w:pPr>
        <w:spacing w:after="259" w:line="295" w:lineRule="auto"/>
        <w:ind w:left="0" w:firstLine="0"/>
        <w:jc w:val="center"/>
        <w:rPr>
          <w:rFonts w:ascii="Times New Roman" w:hAnsi="Times New Roman" w:cs="Times New Roman"/>
          <w:b/>
          <w:bCs/>
        </w:rPr>
      </w:pPr>
      <w:r w:rsidRPr="007E6F97">
        <w:rPr>
          <w:rFonts w:ascii="Times New Roman" w:hAnsi="Times New Roman" w:cs="Times New Roman"/>
          <w:w w:val="95"/>
          <w:sz w:val="32"/>
          <w:szCs w:val="32"/>
        </w:rPr>
        <w:t xml:space="preserve">An IIMA </w:t>
      </w:r>
      <w:proofErr w:type="spellStart"/>
      <w:r w:rsidRPr="007E6F97">
        <w:rPr>
          <w:rFonts w:ascii="Times New Roman" w:hAnsi="Times New Roman" w:cs="Times New Roman"/>
          <w:w w:val="95"/>
          <w:sz w:val="32"/>
          <w:szCs w:val="32"/>
        </w:rPr>
        <w:t>Misra</w:t>
      </w:r>
      <w:proofErr w:type="spellEnd"/>
      <w:r w:rsidRPr="007E6F97">
        <w:rPr>
          <w:rFonts w:ascii="Times New Roman" w:hAnsi="Times New Roman" w:cs="Times New Roman"/>
          <w:w w:val="95"/>
          <w:sz w:val="32"/>
          <w:szCs w:val="32"/>
        </w:rPr>
        <w:t xml:space="preserve"> Centre for FME study on</w:t>
      </w:r>
      <w:r w:rsidRPr="00631855">
        <w:rPr>
          <w:rFonts w:ascii="Times New Roman" w:hAnsi="Times New Roman" w:cs="Times New Roman"/>
          <w:w w:val="95"/>
          <w:sz w:val="32"/>
          <w:szCs w:val="32"/>
        </w:rPr>
        <w:t xml:space="preserve"> Insolvency Regimes and Firms’ Default Risk Under Economic Uncertainty and Shocks</w:t>
      </w:r>
      <w:r>
        <w:rPr>
          <w:rStyle w:val="EndnoteReference"/>
          <w:rFonts w:ascii="Times New Roman" w:hAnsi="Times New Roman" w:cs="Times New Roman"/>
          <w:b/>
          <w:bCs/>
        </w:rPr>
        <w:endnoteReference w:id="1"/>
      </w:r>
      <w:r w:rsidRPr="006168F3">
        <w:rPr>
          <w:rFonts w:ascii="Times New Roman" w:hAnsi="Times New Roman" w:cs="Times New Roman"/>
          <w:b/>
          <w:bCs/>
        </w:rPr>
        <w:t xml:space="preserve"> </w:t>
      </w:r>
      <w:r w:rsidRPr="006168F3">
        <w:rPr>
          <w:rFonts w:ascii="Times New Roman" w:hAnsi="Times New Roman" w:cs="Times New Roman"/>
        </w:rPr>
        <w:t xml:space="preserve">(forthcoming in </w:t>
      </w:r>
      <w:r w:rsidRPr="006168F3">
        <w:rPr>
          <w:rFonts w:ascii="Times New Roman" w:hAnsi="Times New Roman" w:cs="Times New Roman"/>
          <w:i/>
        </w:rPr>
        <w:t xml:space="preserve">Economic Modelling </w:t>
      </w:r>
      <w:r w:rsidRPr="006168F3">
        <w:rPr>
          <w:rFonts w:ascii="Times New Roman" w:hAnsi="Times New Roman" w:cs="Times New Roman"/>
        </w:rPr>
        <w:t>journal)</w:t>
      </w:r>
    </w:p>
    <w:p w14:paraId="4E9DFAB2" w14:textId="293DE91F" w:rsidR="00CD189C" w:rsidRDefault="00CD189C" w:rsidP="00CD189C">
      <w:pPr>
        <w:rPr>
          <w:color w:val="1C1E29"/>
        </w:rPr>
      </w:pPr>
      <w:r>
        <w:rPr>
          <w:rFonts w:ascii="Times New Roman" w:hAnsi="Times New Roman" w:cs="Times New Roman"/>
          <w:b/>
          <w:color w:val="222222"/>
          <w:szCs w:val="24"/>
          <w:shd w:val="clear" w:color="auto" w:fill="FFFFFF"/>
        </w:rPr>
        <w:t>June</w:t>
      </w:r>
      <w:r w:rsidRPr="00AB144A">
        <w:rPr>
          <w:rFonts w:ascii="Times New Roman" w:hAnsi="Times New Roman" w:cs="Times New Roman"/>
          <w:b/>
          <w:color w:val="222222"/>
          <w:szCs w:val="24"/>
          <w:shd w:val="clear" w:color="auto" w:fill="FFFFFF"/>
        </w:rPr>
        <w:t xml:space="preserve"> </w:t>
      </w:r>
      <w:r w:rsidR="00631855">
        <w:rPr>
          <w:rFonts w:ascii="Times New Roman" w:hAnsi="Times New Roman" w:cs="Times New Roman"/>
          <w:b/>
          <w:color w:val="222222"/>
          <w:szCs w:val="24"/>
          <w:shd w:val="clear" w:color="auto" w:fill="FFFFFF"/>
        </w:rPr>
        <w:t>22</w:t>
      </w:r>
      <w:r w:rsidRPr="00AB144A">
        <w:rPr>
          <w:rFonts w:ascii="Times New Roman" w:hAnsi="Times New Roman" w:cs="Times New Roman"/>
          <w:b/>
          <w:color w:val="222222"/>
          <w:szCs w:val="24"/>
          <w:shd w:val="clear" w:color="auto" w:fill="FFFFFF"/>
        </w:rPr>
        <w:t>, 2020 | Ahmedabad:</w:t>
      </w:r>
      <w:r>
        <w:rPr>
          <w:color w:val="222222"/>
          <w:shd w:val="clear" w:color="auto" w:fill="FFFFFF"/>
        </w:rPr>
        <w:t xml:space="preserve"> </w:t>
      </w:r>
      <w:r>
        <w:rPr>
          <w:color w:val="1C1E29"/>
        </w:rPr>
        <w:t> </w:t>
      </w:r>
    </w:p>
    <w:p w14:paraId="0EEAE878" w14:textId="77777777" w:rsidR="00CD189C" w:rsidRDefault="00CD189C" w:rsidP="00CD189C">
      <w:pPr>
        <w:spacing w:after="0"/>
        <w:rPr>
          <w:rFonts w:ascii="Adobe Devanagari" w:hAnsi="Adobe Devanagari" w:cs="Adobe Devanagari"/>
          <w:b/>
          <w:color w:val="1F4E79" w:themeColor="accent5" w:themeShade="80"/>
          <w:sz w:val="28"/>
          <w:szCs w:val="28"/>
          <w:lang w:val="en-GB"/>
        </w:rPr>
      </w:pPr>
      <w:r w:rsidRPr="00881165">
        <w:rPr>
          <w:rFonts w:ascii="Adobe Devanagari" w:hAnsi="Adobe Devanagari" w:cs="Adobe Devanagari"/>
          <w:b/>
          <w:color w:val="1F4E79" w:themeColor="accent5" w:themeShade="80"/>
          <w:sz w:val="28"/>
          <w:szCs w:val="28"/>
          <w:lang w:val="en-GB"/>
        </w:rPr>
        <w:t>SUMMARY:</w:t>
      </w:r>
    </w:p>
    <w:p w14:paraId="347F6664" w14:textId="32CF7CB5" w:rsidR="004929A4" w:rsidRDefault="00CD189C" w:rsidP="00CD189C">
      <w:pPr>
        <w:spacing w:after="0" w:line="276" w:lineRule="auto"/>
        <w:rPr>
          <w:rFonts w:ascii="Adobe Devanagari" w:hAnsi="Adobe Devanagari" w:cs="Adobe Devanagari"/>
          <w:szCs w:val="24"/>
        </w:rPr>
      </w:pPr>
      <w:r w:rsidRPr="00CD189C">
        <w:rPr>
          <w:rFonts w:ascii="Adobe Devanagari" w:hAnsi="Adobe Devanagari" w:cs="Adobe Devanagari"/>
          <w:szCs w:val="24"/>
        </w:rPr>
        <w:t xml:space="preserve">One of the arguments often advanced for implementing a stronger insolvency and bankruptcy framework is that it enhances credit discipline among firms. Using a large cross-country firm-level dataset, </w:t>
      </w:r>
      <w:r w:rsidR="004929A4">
        <w:rPr>
          <w:rFonts w:ascii="Adobe Devanagari" w:hAnsi="Adobe Devanagari" w:cs="Adobe Devanagari"/>
          <w:szCs w:val="24"/>
        </w:rPr>
        <w:t>the</w:t>
      </w:r>
      <w:r w:rsidRPr="00CD189C">
        <w:rPr>
          <w:rFonts w:ascii="Adobe Devanagari" w:hAnsi="Adobe Devanagari" w:cs="Adobe Devanagari"/>
          <w:szCs w:val="24"/>
        </w:rPr>
        <w:t xml:space="preserve"> </w:t>
      </w:r>
      <w:r w:rsidR="004929A4">
        <w:rPr>
          <w:rFonts w:ascii="Adobe Devanagari" w:hAnsi="Adobe Devanagari" w:cs="Adobe Devanagari"/>
          <w:szCs w:val="24"/>
        </w:rPr>
        <w:t xml:space="preserve">study </w:t>
      </w:r>
      <w:r w:rsidRPr="00CD189C">
        <w:rPr>
          <w:rFonts w:ascii="Adobe Devanagari" w:hAnsi="Adobe Devanagari" w:cs="Adobe Devanagari"/>
          <w:szCs w:val="24"/>
        </w:rPr>
        <w:t>empirically test</w:t>
      </w:r>
      <w:r w:rsidR="004929A4">
        <w:rPr>
          <w:rFonts w:ascii="Adobe Devanagari" w:hAnsi="Adobe Devanagari" w:cs="Adobe Devanagari"/>
          <w:szCs w:val="24"/>
        </w:rPr>
        <w:t>’s</w:t>
      </w:r>
      <w:r w:rsidRPr="00CD189C">
        <w:rPr>
          <w:rFonts w:ascii="Adobe Devanagari" w:hAnsi="Adobe Devanagari" w:cs="Adobe Devanagari"/>
          <w:szCs w:val="24"/>
        </w:rPr>
        <w:t xml:space="preserve"> whether a stronger insolvency regime reduces firms’ likelihood of defaulting on their debt. </w:t>
      </w:r>
      <w:proofErr w:type="gramStart"/>
      <w:r w:rsidRPr="00CD189C">
        <w:rPr>
          <w:rFonts w:ascii="Adobe Devanagari" w:hAnsi="Adobe Devanagari" w:cs="Adobe Devanagari"/>
          <w:szCs w:val="24"/>
        </w:rPr>
        <w:t>In par</w:t>
      </w:r>
      <w:bookmarkStart w:id="0" w:name="_GoBack"/>
      <w:bookmarkEnd w:id="0"/>
      <w:r w:rsidRPr="00CD189C">
        <w:rPr>
          <w:rFonts w:ascii="Adobe Devanagari" w:hAnsi="Adobe Devanagari" w:cs="Adobe Devanagari"/>
          <w:szCs w:val="24"/>
        </w:rPr>
        <w:t xml:space="preserve">ticular, </w:t>
      </w:r>
      <w:r w:rsidR="004929A4">
        <w:rPr>
          <w:rFonts w:ascii="Adobe Devanagari" w:hAnsi="Adobe Devanagari" w:cs="Adobe Devanagari"/>
          <w:szCs w:val="24"/>
        </w:rPr>
        <w:t>it</w:t>
      </w:r>
      <w:proofErr w:type="gramEnd"/>
      <w:r w:rsidRPr="00CD189C">
        <w:rPr>
          <w:rFonts w:ascii="Adobe Devanagari" w:hAnsi="Adobe Devanagari" w:cs="Adobe Devanagari"/>
          <w:szCs w:val="24"/>
        </w:rPr>
        <w:t xml:space="preserve"> examine</w:t>
      </w:r>
      <w:r w:rsidR="004929A4">
        <w:rPr>
          <w:rFonts w:ascii="Adobe Devanagari" w:hAnsi="Adobe Devanagari" w:cs="Adobe Devanagari"/>
          <w:szCs w:val="24"/>
        </w:rPr>
        <w:t>s</w:t>
      </w:r>
      <w:r w:rsidRPr="00CD189C">
        <w:rPr>
          <w:rFonts w:ascii="Adobe Devanagari" w:hAnsi="Adobe Devanagari" w:cs="Adobe Devanagari"/>
          <w:szCs w:val="24"/>
        </w:rPr>
        <w:t xml:space="preserve"> whether it reduces default risk during increased economic uncertainty and various external shocks. </w:t>
      </w:r>
      <w:r w:rsidR="004929A4">
        <w:rPr>
          <w:rFonts w:ascii="Adobe Devanagari" w:hAnsi="Adobe Devanagari" w:cs="Adobe Devanagari"/>
          <w:szCs w:val="24"/>
        </w:rPr>
        <w:t>The</w:t>
      </w:r>
      <w:r w:rsidRPr="00CD189C">
        <w:rPr>
          <w:rFonts w:ascii="Adobe Devanagari" w:hAnsi="Adobe Devanagari" w:cs="Adobe Devanagari"/>
          <w:szCs w:val="24"/>
        </w:rPr>
        <w:t xml:space="preserve"> results confirm that a stronger insolvency regime moderates the adverse effects of economic shocks on firms’ default risk. The effects are more pronounced for firms in the top half of the size distribution. </w:t>
      </w:r>
    </w:p>
    <w:p w14:paraId="73101C68" w14:textId="77777777" w:rsidR="004929A4" w:rsidRDefault="004929A4" w:rsidP="00CD189C">
      <w:pPr>
        <w:spacing w:after="0" w:line="276" w:lineRule="auto"/>
        <w:rPr>
          <w:rFonts w:ascii="Adobe Devanagari" w:hAnsi="Adobe Devanagari" w:cs="Adobe Devanagari"/>
          <w:szCs w:val="24"/>
        </w:rPr>
      </w:pPr>
    </w:p>
    <w:p w14:paraId="78551382" w14:textId="48A1A764" w:rsidR="00CD189C" w:rsidRDefault="004929A4" w:rsidP="00CD189C">
      <w:pPr>
        <w:spacing w:after="0" w:line="276" w:lineRule="auto"/>
        <w:rPr>
          <w:rFonts w:ascii="Adobe Devanagari" w:hAnsi="Adobe Devanagari" w:cs="Adobe Devanagari"/>
          <w:szCs w:val="24"/>
        </w:rPr>
      </w:pPr>
      <w:r>
        <w:rPr>
          <w:rFonts w:ascii="Adobe Devanagari" w:hAnsi="Adobe Devanagari" w:cs="Adobe Devanagari"/>
          <w:szCs w:val="24"/>
        </w:rPr>
        <w:t>The study</w:t>
      </w:r>
      <w:r w:rsidR="00CD189C" w:rsidRPr="00CD189C">
        <w:rPr>
          <w:rFonts w:ascii="Adobe Devanagari" w:hAnsi="Adobe Devanagari" w:cs="Adobe Devanagari"/>
          <w:szCs w:val="24"/>
        </w:rPr>
        <w:t xml:space="preserve"> also explore</w:t>
      </w:r>
      <w:r>
        <w:rPr>
          <w:rFonts w:ascii="Adobe Devanagari" w:hAnsi="Adobe Devanagari" w:cs="Adobe Devanagari"/>
          <w:szCs w:val="24"/>
        </w:rPr>
        <w:t>s</w:t>
      </w:r>
      <w:r w:rsidR="00CD189C" w:rsidRPr="00CD189C">
        <w:rPr>
          <w:rFonts w:ascii="Adobe Devanagari" w:hAnsi="Adobe Devanagari" w:cs="Adobe Devanagari"/>
          <w:szCs w:val="24"/>
        </w:rPr>
        <w:t xml:space="preserve"> channels through which improved creditor rights influence firms’ default risk, including dependence on external finance, corporate leverage, and managerial ethics. </w:t>
      </w:r>
      <w:r>
        <w:rPr>
          <w:rFonts w:ascii="Adobe Devanagari" w:hAnsi="Adobe Devanagari" w:cs="Adobe Devanagari"/>
          <w:szCs w:val="24"/>
        </w:rPr>
        <w:t xml:space="preserve">The </w:t>
      </w:r>
      <w:r w:rsidR="00CD189C" w:rsidRPr="00CD189C">
        <w:rPr>
          <w:rFonts w:ascii="Adobe Devanagari" w:hAnsi="Adobe Devanagari" w:cs="Adobe Devanagari"/>
          <w:szCs w:val="24"/>
        </w:rPr>
        <w:t>main results are robust to an alternative measure of default risk, inclusion of currency and sovereign debt crisis episodes, and alternative estimations.</w:t>
      </w:r>
    </w:p>
    <w:p w14:paraId="58868A6D" w14:textId="77777777" w:rsidR="00CD189C" w:rsidRPr="00CD189C" w:rsidRDefault="00CD189C" w:rsidP="00CD189C">
      <w:pPr>
        <w:spacing w:after="0"/>
        <w:rPr>
          <w:rFonts w:ascii="Adobe Devanagari" w:hAnsi="Adobe Devanagari" w:cs="Adobe Devanagari"/>
          <w:szCs w:val="24"/>
        </w:rPr>
      </w:pPr>
    </w:p>
    <w:p w14:paraId="48DCA2C0" w14:textId="535C6DC0" w:rsidR="00CD189C" w:rsidRPr="00881165" w:rsidRDefault="00CD189C" w:rsidP="00CD189C">
      <w:pPr>
        <w:spacing w:line="276" w:lineRule="auto"/>
        <w:rPr>
          <w:rFonts w:ascii="Adobe Devanagari" w:hAnsi="Adobe Devanagari" w:cs="Adobe Devanagari"/>
          <w:b/>
          <w:color w:val="1F4E79" w:themeColor="accent5" w:themeShade="80"/>
          <w:sz w:val="28"/>
          <w:szCs w:val="28"/>
          <w:lang w:val="en-GB"/>
        </w:rPr>
      </w:pPr>
      <w:r w:rsidRPr="00881165">
        <w:rPr>
          <w:rFonts w:ascii="Adobe Devanagari" w:hAnsi="Adobe Devanagari" w:cs="Adobe Devanagari"/>
          <w:szCs w:val="24"/>
        </w:rPr>
        <w:t xml:space="preserve">The full report is available along with other working papers on </w:t>
      </w:r>
      <w:proofErr w:type="spellStart"/>
      <w:r w:rsidRPr="00881165">
        <w:rPr>
          <w:rFonts w:ascii="Adobe Devanagari" w:hAnsi="Adobe Devanagari" w:cs="Adobe Devanagari"/>
          <w:szCs w:val="24"/>
        </w:rPr>
        <w:t>Misra</w:t>
      </w:r>
      <w:proofErr w:type="spellEnd"/>
      <w:r w:rsidRPr="00881165">
        <w:rPr>
          <w:rFonts w:ascii="Adobe Devanagari" w:hAnsi="Adobe Devanagari" w:cs="Adobe Devanagari"/>
          <w:szCs w:val="24"/>
        </w:rPr>
        <w:t xml:space="preserve"> Centr</w:t>
      </w:r>
      <w:r>
        <w:rPr>
          <w:rFonts w:ascii="Adobe Devanagari" w:hAnsi="Adobe Devanagari" w:cs="Adobe Devanagari"/>
          <w:szCs w:val="24"/>
        </w:rPr>
        <w:t>e</w:t>
      </w:r>
      <w:r w:rsidRPr="00881165">
        <w:rPr>
          <w:rFonts w:ascii="Adobe Devanagari" w:hAnsi="Adobe Devanagari" w:cs="Adobe Devanagari"/>
          <w:szCs w:val="24"/>
        </w:rPr>
        <w:t xml:space="preserve"> on Financial Markets and Economy</w:t>
      </w:r>
      <w:r>
        <w:rPr>
          <w:rFonts w:ascii="Adobe Devanagari" w:hAnsi="Adobe Devanagari" w:cs="Adobe Devanagari"/>
          <w:szCs w:val="24"/>
        </w:rPr>
        <w:t xml:space="preserve"> </w:t>
      </w:r>
      <w:r w:rsidRPr="00881165">
        <w:rPr>
          <w:rFonts w:ascii="Adobe Devanagari" w:hAnsi="Adobe Devanagari" w:cs="Adobe Devanagari"/>
          <w:szCs w:val="24"/>
        </w:rPr>
        <w:t xml:space="preserve">(MCFME) page: </w:t>
      </w:r>
      <w:hyperlink r:id="rId8" w:history="1">
        <w:r w:rsidRPr="00881165">
          <w:rPr>
            <w:rStyle w:val="Hyperlink"/>
            <w:rFonts w:ascii="Adobe Devanagari" w:hAnsi="Adobe Devanagari" w:cs="Adobe Devanagari"/>
            <w:szCs w:val="24"/>
          </w:rPr>
          <w:t>https://www.iima.ac.in/web/areas-and-centres/research-centres/misra-centre-for-financial-markets-and-economy/research-and-publications</w:t>
        </w:r>
      </w:hyperlink>
    </w:p>
    <w:p w14:paraId="05F2969D" w14:textId="2C42C548" w:rsidR="00CD189C" w:rsidRPr="00CD189C" w:rsidRDefault="00CD189C" w:rsidP="00CD189C">
      <w:pPr>
        <w:rPr>
          <w:rFonts w:ascii="Adobe Devanagari" w:hAnsi="Adobe Devanagari" w:cs="Adobe Devanagari"/>
          <w:b/>
          <w:color w:val="1F4E79" w:themeColor="accent5" w:themeShade="80"/>
          <w:sz w:val="28"/>
          <w:szCs w:val="28"/>
          <w:lang w:val="en-GB"/>
        </w:rPr>
      </w:pPr>
      <w:r w:rsidRPr="00881165">
        <w:rPr>
          <w:rFonts w:ascii="Adobe Devanagari" w:hAnsi="Adobe Devanagari" w:cs="Adobe Devanagari"/>
          <w:b/>
          <w:color w:val="1F4E79" w:themeColor="accent5" w:themeShade="80"/>
          <w:sz w:val="28"/>
          <w:szCs w:val="28"/>
          <w:lang w:val="en-GB"/>
        </w:rPr>
        <w:t>K</w:t>
      </w:r>
      <w:r>
        <w:rPr>
          <w:rFonts w:ascii="Adobe Devanagari" w:hAnsi="Adobe Devanagari" w:cs="Adobe Devanagari"/>
          <w:b/>
          <w:color w:val="1F4E79" w:themeColor="accent5" w:themeShade="80"/>
          <w:sz w:val="28"/>
          <w:szCs w:val="28"/>
          <w:lang w:val="en-GB"/>
        </w:rPr>
        <w:t>E</w:t>
      </w:r>
      <w:r w:rsidRPr="00881165">
        <w:rPr>
          <w:rFonts w:ascii="Adobe Devanagari" w:hAnsi="Adobe Devanagari" w:cs="Adobe Devanagari"/>
          <w:b/>
          <w:color w:val="1F4E79" w:themeColor="accent5" w:themeShade="80"/>
          <w:sz w:val="28"/>
          <w:szCs w:val="28"/>
          <w:lang w:val="en-GB"/>
        </w:rPr>
        <w:t>Y INSIGHTS/FINDINGS FROM THE SURVEY:</w:t>
      </w:r>
    </w:p>
    <w:p w14:paraId="0276FBCF" w14:textId="24B70159" w:rsidR="00EB18A3" w:rsidRPr="009B1474" w:rsidRDefault="006168F3" w:rsidP="009B1474">
      <w:pPr>
        <w:spacing w:line="276" w:lineRule="auto"/>
        <w:ind w:left="-5" w:right="-15"/>
        <w:rPr>
          <w:rFonts w:ascii="Adobe Devanagari" w:hAnsi="Adobe Devanagari" w:cs="Adobe Devanagari"/>
          <w:szCs w:val="24"/>
        </w:rPr>
      </w:pPr>
      <w:r w:rsidRPr="009B1474">
        <w:rPr>
          <w:rFonts w:ascii="Adobe Devanagari" w:hAnsi="Adobe Devanagari" w:cs="Adobe Devanagari"/>
          <w:szCs w:val="24"/>
        </w:rPr>
        <w:t xml:space="preserve">Using data from 60 countries for about 13,000 firms, a study by Prof. </w:t>
      </w:r>
      <w:proofErr w:type="spellStart"/>
      <w:r w:rsidRPr="009B1474">
        <w:rPr>
          <w:rFonts w:ascii="Adobe Devanagari" w:hAnsi="Adobe Devanagari" w:cs="Adobe Devanagari"/>
          <w:szCs w:val="24"/>
        </w:rPr>
        <w:t>Balagopal</w:t>
      </w:r>
      <w:proofErr w:type="spellEnd"/>
      <w:r w:rsidRPr="009B1474">
        <w:rPr>
          <w:rFonts w:ascii="Adobe Devanagari" w:hAnsi="Adobe Devanagari" w:cs="Adobe Devanagari"/>
          <w:szCs w:val="24"/>
        </w:rPr>
        <w:t xml:space="preserve"> Gopalakrishnan (IIM Kozhikode) and Prof. </w:t>
      </w:r>
      <w:proofErr w:type="spellStart"/>
      <w:r w:rsidRPr="009B1474">
        <w:rPr>
          <w:rFonts w:ascii="Adobe Devanagari" w:hAnsi="Adobe Devanagari" w:cs="Adobe Devanagari"/>
          <w:szCs w:val="24"/>
        </w:rPr>
        <w:t>Sanket</w:t>
      </w:r>
      <w:proofErr w:type="spellEnd"/>
      <w:r w:rsidRPr="009B1474">
        <w:rPr>
          <w:rFonts w:ascii="Adobe Devanagari" w:hAnsi="Adobe Devanagari" w:cs="Adobe Devanagari"/>
          <w:szCs w:val="24"/>
        </w:rPr>
        <w:t xml:space="preserve"> Mohapatra (IIM Ahmedabad) finds that a stronger insolvency and bankruptcy framework is likely to enhance credit discipline among firms and reduce their risk of future debt default. A stronger insolvency regime is usually associated with reduction in the time and cost of </w:t>
      </w:r>
      <w:r w:rsidR="009B1474" w:rsidRPr="009B1474">
        <w:rPr>
          <w:rFonts w:ascii="Adobe Devanagari" w:hAnsi="Adobe Devanagari" w:cs="Adobe Devanagari"/>
          <w:szCs w:val="24"/>
        </w:rPr>
        <w:t>proceedings and</w:t>
      </w:r>
      <w:r w:rsidRPr="009B1474">
        <w:rPr>
          <w:rFonts w:ascii="Adobe Devanagari" w:hAnsi="Adobe Devanagari" w:cs="Adobe Devanagari"/>
          <w:szCs w:val="24"/>
        </w:rPr>
        <w:t xml:space="preserve"> involves a higher recovery rate in the event of bankruptcy. In a stronger insolvency </w:t>
      </w:r>
      <w:r w:rsidRPr="009B1474">
        <w:rPr>
          <w:rFonts w:ascii="Adobe Devanagari" w:hAnsi="Adobe Devanagari" w:cs="Adobe Devanagari"/>
          <w:szCs w:val="24"/>
        </w:rPr>
        <w:lastRenderedPageBreak/>
        <w:t>framework, where the promoters have a greater risk of losing control of the firm, the study finds that corporate managers are likely to be more conservative in their investment and financing decisions, and consequently, can reduce the risk of a debt default.</w:t>
      </w:r>
    </w:p>
    <w:p w14:paraId="29A6D6F8" w14:textId="77777777" w:rsidR="00EB18A3" w:rsidRPr="009B1474" w:rsidRDefault="006168F3" w:rsidP="009B1474">
      <w:pPr>
        <w:spacing w:line="276" w:lineRule="auto"/>
        <w:ind w:left="-5" w:right="-15"/>
        <w:rPr>
          <w:rFonts w:ascii="Adobe Devanagari" w:hAnsi="Adobe Devanagari" w:cs="Adobe Devanagari"/>
          <w:szCs w:val="24"/>
        </w:rPr>
      </w:pPr>
      <w:r w:rsidRPr="009B1474">
        <w:rPr>
          <w:rFonts w:ascii="Adobe Devanagari" w:hAnsi="Adobe Devanagari" w:cs="Adobe Devanagari"/>
          <w:szCs w:val="24"/>
        </w:rPr>
        <w:t>The study also finds that in countries with stronger insolvency regimes, the adverse effects of policy uncertainty and economic crisis (such as the COVID-19 pandemic) is moderated, as firms would have made more prudent decisions ex-ante to lower their risk of debt distress in such a scenario.</w:t>
      </w:r>
    </w:p>
    <w:p w14:paraId="0091A65E" w14:textId="77777777" w:rsidR="00EB18A3" w:rsidRPr="009B1474" w:rsidRDefault="006168F3" w:rsidP="009B1474">
      <w:pPr>
        <w:spacing w:after="0" w:line="276" w:lineRule="auto"/>
        <w:ind w:left="-5" w:right="-15"/>
        <w:rPr>
          <w:rFonts w:ascii="Adobe Devanagari" w:hAnsi="Adobe Devanagari" w:cs="Adobe Devanagari"/>
          <w:szCs w:val="24"/>
        </w:rPr>
      </w:pPr>
      <w:r w:rsidRPr="009B1474">
        <w:rPr>
          <w:rFonts w:ascii="Adobe Devanagari" w:hAnsi="Adobe Devanagari" w:cs="Adobe Devanagari"/>
          <w:szCs w:val="24"/>
        </w:rPr>
        <w:t>India has implemented significant bankruptcy reforms with introduction of the Insolvency and</w:t>
      </w:r>
    </w:p>
    <w:p w14:paraId="6EA80617" w14:textId="77777777" w:rsidR="00EB18A3" w:rsidRPr="009B1474" w:rsidRDefault="006168F3" w:rsidP="009B1474">
      <w:pPr>
        <w:spacing w:line="276" w:lineRule="auto"/>
        <w:ind w:left="-5" w:right="-15"/>
        <w:rPr>
          <w:rFonts w:ascii="Adobe Devanagari" w:hAnsi="Adobe Devanagari" w:cs="Adobe Devanagari"/>
          <w:szCs w:val="24"/>
        </w:rPr>
      </w:pPr>
      <w:r w:rsidRPr="009B1474">
        <w:rPr>
          <w:rFonts w:ascii="Adobe Devanagari" w:hAnsi="Adobe Devanagari" w:cs="Adobe Devanagari"/>
          <w:szCs w:val="24"/>
        </w:rPr>
        <w:t>Bankruptcy Code (IBC) in 2016. As a result of these reforms, India’s position in the World Bank’s Resolving Insolvency ranking has increased sharply in recent years, from 132 in 2016, the year in which IBC was introduced, to 52 in the 2020 ranking.</w:t>
      </w:r>
    </w:p>
    <w:p w14:paraId="45437A9F" w14:textId="7F4BFDC8" w:rsidR="00EB18A3" w:rsidRPr="009B1474" w:rsidRDefault="006168F3" w:rsidP="009B1474">
      <w:pPr>
        <w:spacing w:after="710" w:line="276" w:lineRule="auto"/>
        <w:ind w:left="-5" w:right="-15"/>
        <w:rPr>
          <w:rFonts w:ascii="Adobe Devanagari" w:hAnsi="Adobe Devanagari" w:cs="Adobe Devanagari"/>
          <w:szCs w:val="24"/>
        </w:rPr>
      </w:pPr>
      <w:r w:rsidRPr="009B1474">
        <w:rPr>
          <w:rFonts w:ascii="Adobe Devanagari" w:hAnsi="Adobe Devanagari" w:cs="Adobe Devanagari"/>
          <w:szCs w:val="24"/>
        </w:rPr>
        <w:t>Although the IBC is suspended currently due to the COVID-19 pandemic-induced deep economic crisis, the study suggests that the insolvency reforms in India will have important implications for the corporate sector in a post-COVID scenario. While the suspension of IBC may be warranted in the current economic climate, a possible downside of suspending it for an extended period is that it could encourage riskier behaviour among firms.</w:t>
      </w:r>
    </w:p>
    <w:sectPr w:rsidR="00EB18A3" w:rsidRPr="009B1474">
      <w:pgSz w:w="11906" w:h="16838"/>
      <w:pgMar w:top="1514" w:right="1440" w:bottom="79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933E5" w14:textId="77777777" w:rsidR="0038757F" w:rsidRDefault="0038757F" w:rsidP="00CD189C">
      <w:pPr>
        <w:spacing w:after="0" w:line="240" w:lineRule="auto"/>
      </w:pPr>
      <w:r>
        <w:separator/>
      </w:r>
    </w:p>
  </w:endnote>
  <w:endnote w:type="continuationSeparator" w:id="0">
    <w:p w14:paraId="28C78A5E" w14:textId="77777777" w:rsidR="0038757F" w:rsidRDefault="0038757F" w:rsidP="00CD189C">
      <w:pPr>
        <w:spacing w:after="0" w:line="240" w:lineRule="auto"/>
      </w:pPr>
      <w:r>
        <w:continuationSeparator/>
      </w:r>
    </w:p>
  </w:endnote>
  <w:endnote w:id="1">
    <w:p w14:paraId="01A77B19" w14:textId="0824F2B8" w:rsidR="00CD189C" w:rsidRDefault="00CD189C">
      <w:pPr>
        <w:pStyle w:val="EndnoteText"/>
        <w:rPr>
          <w:rFonts w:ascii="Adobe Devanagari" w:hAnsi="Adobe Devanagari" w:cs="Adobe Devanagari"/>
          <w:i/>
          <w:iCs/>
        </w:rPr>
      </w:pPr>
      <w:r>
        <w:rPr>
          <w:rStyle w:val="EndnoteReference"/>
        </w:rPr>
        <w:endnoteRef/>
      </w:r>
      <w:r>
        <w:t xml:space="preserve"> </w:t>
      </w:r>
      <w:r w:rsidRPr="003B1218">
        <w:rPr>
          <w:rFonts w:ascii="Adobe Devanagari" w:hAnsi="Adobe Devanagari" w:cs="Adobe Devanagari"/>
          <w:i/>
          <w:iCs/>
        </w:rPr>
        <w:t xml:space="preserve">The report </w:t>
      </w:r>
      <w:r>
        <w:rPr>
          <w:rFonts w:ascii="Adobe Devanagari" w:hAnsi="Adobe Devanagari" w:cs="Adobe Devanagari"/>
          <w:i/>
          <w:iCs/>
        </w:rPr>
        <w:t>is by P</w:t>
      </w:r>
      <w:r w:rsidRPr="003B1218">
        <w:rPr>
          <w:rFonts w:ascii="Adobe Devanagari" w:hAnsi="Adobe Devanagari" w:cs="Adobe Devanagari"/>
          <w:i/>
          <w:iCs/>
        </w:rPr>
        <w:t xml:space="preserve">rof. </w:t>
      </w:r>
      <w:proofErr w:type="spellStart"/>
      <w:r w:rsidRPr="003B1218">
        <w:rPr>
          <w:rFonts w:ascii="Adobe Devanagari" w:hAnsi="Adobe Devanagari" w:cs="Adobe Devanagari"/>
          <w:i/>
          <w:iCs/>
        </w:rPr>
        <w:t>Balagopal</w:t>
      </w:r>
      <w:proofErr w:type="spellEnd"/>
      <w:r w:rsidRPr="003B1218">
        <w:rPr>
          <w:rFonts w:ascii="Adobe Devanagari" w:hAnsi="Adobe Devanagari" w:cs="Adobe Devanagari"/>
          <w:i/>
          <w:iCs/>
        </w:rPr>
        <w:t xml:space="preserve"> Gopalakrishnan of IIM</w:t>
      </w:r>
      <w:r>
        <w:rPr>
          <w:rFonts w:ascii="Adobe Devanagari" w:hAnsi="Adobe Devanagari" w:cs="Adobe Devanagari"/>
          <w:i/>
          <w:iCs/>
        </w:rPr>
        <w:t xml:space="preserve"> </w:t>
      </w:r>
      <w:r w:rsidRPr="003B1218">
        <w:rPr>
          <w:rFonts w:ascii="Adobe Devanagari" w:hAnsi="Adobe Devanagari" w:cs="Adobe Devanagari"/>
          <w:i/>
          <w:iCs/>
        </w:rPr>
        <w:t>K</w:t>
      </w:r>
      <w:r>
        <w:rPr>
          <w:rFonts w:ascii="Adobe Devanagari" w:hAnsi="Adobe Devanagari" w:cs="Adobe Devanagari"/>
          <w:i/>
          <w:iCs/>
        </w:rPr>
        <w:t xml:space="preserve">ozhikode and Prof. </w:t>
      </w:r>
      <w:proofErr w:type="spellStart"/>
      <w:r>
        <w:rPr>
          <w:rFonts w:ascii="Adobe Devanagari" w:hAnsi="Adobe Devanagari" w:cs="Adobe Devanagari"/>
          <w:i/>
          <w:iCs/>
        </w:rPr>
        <w:t>Sanket</w:t>
      </w:r>
      <w:proofErr w:type="spellEnd"/>
      <w:r>
        <w:rPr>
          <w:rFonts w:ascii="Adobe Devanagari" w:hAnsi="Adobe Devanagari" w:cs="Adobe Devanagari"/>
          <w:i/>
          <w:iCs/>
        </w:rPr>
        <w:t xml:space="preserve"> Mohapatra of IIM Ahmedabad</w:t>
      </w:r>
    </w:p>
    <w:p w14:paraId="0C803C9C" w14:textId="2EA1F641" w:rsidR="00A93500" w:rsidRDefault="00A93500">
      <w:pPr>
        <w:pStyle w:val="EndnoteText"/>
        <w:rPr>
          <w:rFonts w:ascii="Adobe Devanagari" w:hAnsi="Adobe Devanagari" w:cs="Adobe Devanagari"/>
          <w:i/>
          <w:iCs/>
        </w:rPr>
      </w:pPr>
    </w:p>
    <w:p w14:paraId="1670DD54" w14:textId="77777777" w:rsidR="00A93500" w:rsidRDefault="00A93500">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Devanagari">
    <w:panose1 w:val="02040503050201020203"/>
    <w:charset w:val="00"/>
    <w:family w:val="roman"/>
    <w:notTrueType/>
    <w:pitch w:val="variable"/>
    <w:sig w:usb0="A00080E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633CF" w14:textId="77777777" w:rsidR="0038757F" w:rsidRDefault="0038757F" w:rsidP="00CD189C">
      <w:pPr>
        <w:spacing w:after="0" w:line="240" w:lineRule="auto"/>
      </w:pPr>
      <w:r>
        <w:separator/>
      </w:r>
    </w:p>
  </w:footnote>
  <w:footnote w:type="continuationSeparator" w:id="0">
    <w:p w14:paraId="5BB6ED45" w14:textId="77777777" w:rsidR="0038757F" w:rsidRDefault="0038757F" w:rsidP="00CD18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8A3"/>
    <w:rsid w:val="001C590E"/>
    <w:rsid w:val="0038757F"/>
    <w:rsid w:val="004929A4"/>
    <w:rsid w:val="006168F3"/>
    <w:rsid w:val="00631855"/>
    <w:rsid w:val="009B1474"/>
    <w:rsid w:val="00A93500"/>
    <w:rsid w:val="00CD189C"/>
    <w:rsid w:val="00CD369B"/>
    <w:rsid w:val="00D10BD7"/>
    <w:rsid w:val="00EB18A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DFCB7"/>
  <w15:docId w15:val="{2E022C45-DC82-43D9-91B9-94314A41A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348" w:line="303" w:lineRule="auto"/>
      <w:ind w:left="10" w:hanging="10"/>
      <w:jc w:val="both"/>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1C590E"/>
    <w:rPr>
      <w:b/>
      <w:bCs/>
      <w:smallCaps/>
      <w:color w:val="4472C4" w:themeColor="accent1"/>
      <w:spacing w:val="5"/>
    </w:rPr>
  </w:style>
  <w:style w:type="character" w:styleId="Hyperlink">
    <w:name w:val="Hyperlink"/>
    <w:basedOn w:val="DefaultParagraphFont"/>
    <w:uiPriority w:val="99"/>
    <w:semiHidden/>
    <w:unhideWhenUsed/>
    <w:rsid w:val="00CD189C"/>
    <w:rPr>
      <w:color w:val="0000FF"/>
      <w:u w:val="single"/>
    </w:rPr>
  </w:style>
  <w:style w:type="paragraph" w:styleId="EndnoteText">
    <w:name w:val="endnote text"/>
    <w:basedOn w:val="Normal"/>
    <w:link w:val="EndnoteTextChar"/>
    <w:uiPriority w:val="99"/>
    <w:semiHidden/>
    <w:unhideWhenUsed/>
    <w:rsid w:val="00CD189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D189C"/>
    <w:rPr>
      <w:rFonts w:ascii="Calibri" w:eastAsia="Calibri" w:hAnsi="Calibri" w:cs="Calibri"/>
      <w:color w:val="000000"/>
      <w:sz w:val="20"/>
      <w:szCs w:val="20"/>
    </w:rPr>
  </w:style>
  <w:style w:type="character" w:styleId="EndnoteReference">
    <w:name w:val="endnote reference"/>
    <w:basedOn w:val="DefaultParagraphFont"/>
    <w:uiPriority w:val="99"/>
    <w:semiHidden/>
    <w:unhideWhenUsed/>
    <w:rsid w:val="00CD18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iima.ac.in/web/areas-and-centres/research-centres/misra-centre-for-financial-markets-and-economy/research-and-publication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EE88F-95F0-41C9-BB08-0950A2811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Sanket Mohapatra</dc:creator>
  <cp:keywords/>
  <cp:lastModifiedBy>Mitaaly Naidu</cp:lastModifiedBy>
  <cp:revision>7</cp:revision>
  <dcterms:created xsi:type="dcterms:W3CDTF">2020-06-18T10:26:00Z</dcterms:created>
  <dcterms:modified xsi:type="dcterms:W3CDTF">2020-06-19T06:35:00Z</dcterms:modified>
</cp:coreProperties>
</file>