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4381" w14:textId="77777777" w:rsidR="001C1C3E" w:rsidRDefault="001C1C3E" w:rsidP="001C1C3E">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1BCACB14" wp14:editId="4DDD7A35">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112081E3" w14:textId="77777777" w:rsidR="001C1C3E" w:rsidRDefault="001C1C3E" w:rsidP="001C1C3E">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272399AA" w14:textId="77777777" w:rsidR="001C1C3E" w:rsidRPr="00F5494B" w:rsidRDefault="001C1C3E" w:rsidP="001C1C3E">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030995A0" w14:textId="77777777" w:rsidR="001C1C3E" w:rsidRDefault="001C1C3E"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159F2414" w:rsidR="00360057" w:rsidRPr="00FD534D" w:rsidRDefault="00925659"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DF1342">
        <w:rPr>
          <w:rFonts w:ascii="Times New Roman" w:eastAsia="Times New Roman" w:hAnsi="Times New Roman" w:cs="Times New Roman"/>
          <w:b/>
          <w:color w:val="222222"/>
          <w:sz w:val="28"/>
          <w:szCs w:val="28"/>
          <w:shd w:val="clear" w:color="auto" w:fill="FFFFFF"/>
          <w:lang w:val="en-GB" w:eastAsia="en-GB"/>
        </w:rPr>
        <w:t>April</w:t>
      </w:r>
      <w:r w:rsidR="00C6596E">
        <w:rPr>
          <w:rFonts w:ascii="Times New Roman" w:eastAsia="Times New Roman" w:hAnsi="Times New Roman" w:cs="Times New Roman"/>
          <w:b/>
          <w:color w:val="222222"/>
          <w:sz w:val="28"/>
          <w:szCs w:val="28"/>
          <w:shd w:val="clear" w:color="auto" w:fill="FFFFFF"/>
          <w:lang w:val="en-GB" w:eastAsia="en-GB"/>
        </w:rPr>
        <w:t xml:space="preserve"> 2020</w:t>
      </w:r>
    </w:p>
    <w:p w14:paraId="1D3B2346" w14:textId="005BE4EE" w:rsidR="00FC49EB" w:rsidRPr="00B51681" w:rsidRDefault="00FC49EB" w:rsidP="00C32EC0">
      <w:pPr>
        <w:spacing w:after="0" w:line="240" w:lineRule="auto"/>
        <w:jc w:val="both"/>
        <w:rPr>
          <w:rFonts w:ascii="Times New Roman" w:hAnsi="Times New Roman" w:cs="Times New Roman"/>
        </w:rPr>
      </w:pPr>
    </w:p>
    <w:p w14:paraId="15482771" w14:textId="41E8711F" w:rsidR="001C1C3E" w:rsidRPr="00DF5E29" w:rsidRDefault="001C1C3E" w:rsidP="001C1C3E">
      <w:pPr>
        <w:spacing w:after="160" w:line="256" w:lineRule="auto"/>
        <w:jc w:val="both"/>
        <w:rPr>
          <w:rFonts w:ascii="Times New Roman" w:eastAsia="Times New Roman" w:hAnsi="Times New Roman" w:cs="Times New Roman"/>
          <w:b/>
        </w:rPr>
      </w:pPr>
      <w:r>
        <w:rPr>
          <w:rFonts w:ascii="Times New Roman" w:hAnsi="Times New Roman" w:cs="Times New Roman"/>
          <w:b/>
        </w:rPr>
        <w:t>June</w:t>
      </w:r>
      <w:r w:rsidRPr="00CE6B69">
        <w:rPr>
          <w:rFonts w:ascii="Times New Roman" w:eastAsia="Times New Roman" w:hAnsi="Times New Roman" w:cs="Times New Roman"/>
          <w:b/>
        </w:rPr>
        <w:t xml:space="preserve"> </w:t>
      </w:r>
      <w:r>
        <w:rPr>
          <w:rFonts w:ascii="Times New Roman" w:eastAsia="Times New Roman" w:hAnsi="Times New Roman" w:cs="Times New Roman"/>
          <w:b/>
        </w:rPr>
        <w:t>2</w:t>
      </w:r>
      <w:r w:rsidRPr="00CE6B69">
        <w:rPr>
          <w:rFonts w:ascii="Times New Roman" w:eastAsia="Times New Roman" w:hAnsi="Times New Roman" w:cs="Times New Roman"/>
          <w:b/>
        </w:rPr>
        <w:t>, 2020 | Ahmedabad</w:t>
      </w:r>
    </w:p>
    <w:p w14:paraId="0C1DC690" w14:textId="64E74ADD" w:rsidR="001C1C3E" w:rsidRPr="00D51BF6" w:rsidRDefault="001C1C3E" w:rsidP="001C1C3E">
      <w:pPr>
        <w:spacing w:after="0" w:line="240" w:lineRule="auto"/>
        <w:jc w:val="both"/>
        <w:rPr>
          <w:rFonts w:ascii="Times New Roman" w:hAnsi="Times New Roman" w:cs="Times New Roman"/>
        </w:rPr>
      </w:pPr>
      <w:r w:rsidRPr="00D51BF6">
        <w:rPr>
          <w:rFonts w:ascii="Times New Roman" w:hAnsi="Times New Roman" w:cs="Times New Roma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w:t>
      </w:r>
      <w:r w:rsidRPr="001C1C3E">
        <w:rPr>
          <w:rFonts w:ascii="Times New Roman" w:hAnsi="Times New Roman" w:cs="Times New Roman"/>
        </w:rPr>
        <w:t xml:space="preserve">Companies are selected primarily from the manufacturing sector. The “BIES - April 2020” is the 36th round of the Survey. </w:t>
      </w:r>
      <w:bookmarkStart w:id="0" w:name="_GoBack"/>
      <w:bookmarkEnd w:id="0"/>
    </w:p>
    <w:p w14:paraId="2DD6675D" w14:textId="77777777" w:rsidR="001C1C3E" w:rsidRDefault="001C1C3E" w:rsidP="00BA11D9">
      <w:pPr>
        <w:spacing w:after="0" w:line="240" w:lineRule="auto"/>
        <w:jc w:val="both"/>
        <w:rPr>
          <w:rFonts w:ascii="Times New Roman" w:hAnsi="Times New Roman" w:cs="Times New Roman"/>
        </w:rPr>
      </w:pPr>
    </w:p>
    <w:p w14:paraId="67330CD0" w14:textId="06B08C58" w:rsidR="00DE3769" w:rsidRPr="00B51681" w:rsidRDefault="0060634C" w:rsidP="00BA11D9">
      <w:pPr>
        <w:spacing w:after="0" w:line="240" w:lineRule="auto"/>
        <w:jc w:val="both"/>
        <w:rPr>
          <w:rFonts w:ascii="Times New Roman" w:hAnsi="Times New Roman" w:cs="Times New Roman"/>
        </w:rPr>
      </w:pPr>
      <w:r w:rsidRPr="00B51681">
        <w:rPr>
          <w:rFonts w:ascii="Times New Roman" w:hAnsi="Times New Roman" w:cs="Times New Roman"/>
        </w:rPr>
        <w:t xml:space="preserve">The COVID-19 </w:t>
      </w:r>
      <w:r w:rsidR="00BA11D9">
        <w:rPr>
          <w:rFonts w:ascii="Times New Roman" w:hAnsi="Times New Roman" w:cs="Times New Roman"/>
        </w:rPr>
        <w:t xml:space="preserve">pandemic </w:t>
      </w:r>
      <w:r w:rsidRPr="00B51681">
        <w:rPr>
          <w:rFonts w:ascii="Times New Roman" w:hAnsi="Times New Roman" w:cs="Times New Roman"/>
        </w:rPr>
        <w:t xml:space="preserve">and subsequent lockdown of the economy have had an impact on </w:t>
      </w:r>
      <w:r w:rsidR="00B51681">
        <w:rPr>
          <w:rFonts w:ascii="Times New Roman" w:hAnsi="Times New Roman" w:cs="Times New Roman"/>
        </w:rPr>
        <w:t xml:space="preserve">the </w:t>
      </w:r>
      <w:r w:rsidRPr="00B51681">
        <w:rPr>
          <w:rFonts w:ascii="Times New Roman" w:hAnsi="Times New Roman" w:cs="Times New Roman"/>
        </w:rPr>
        <w:t xml:space="preserve">BIES </w:t>
      </w:r>
      <w:r w:rsidR="00DE3769" w:rsidRPr="00B51681">
        <w:rPr>
          <w:rFonts w:ascii="Times New Roman" w:hAnsi="Times New Roman" w:cs="Times New Roman"/>
        </w:rPr>
        <w:t xml:space="preserve">survey responses </w:t>
      </w:r>
      <w:r w:rsidRPr="00B51681">
        <w:rPr>
          <w:rFonts w:ascii="Times New Roman" w:hAnsi="Times New Roman" w:cs="Times New Roman"/>
        </w:rPr>
        <w:t xml:space="preserve">for April 2020. </w:t>
      </w:r>
      <w:r w:rsidR="00DE3769" w:rsidRPr="00B51681">
        <w:rPr>
          <w:rFonts w:ascii="Times New Roman" w:hAnsi="Times New Roman" w:cs="Times New Roman"/>
        </w:rPr>
        <w:t>In the first fortnight of May</w:t>
      </w:r>
      <w:r w:rsidR="000D0B24" w:rsidRPr="00B51681">
        <w:rPr>
          <w:rFonts w:ascii="Times New Roman" w:hAnsi="Times New Roman" w:cs="Times New Roman"/>
        </w:rPr>
        <w:t xml:space="preserve"> 2020</w:t>
      </w:r>
      <w:r w:rsidR="00DE3769" w:rsidRPr="00B51681">
        <w:rPr>
          <w:rFonts w:ascii="Times New Roman" w:hAnsi="Times New Roman" w:cs="Times New Roman"/>
        </w:rPr>
        <w:t>, t</w:t>
      </w:r>
      <w:r w:rsidRPr="00B51681">
        <w:rPr>
          <w:rFonts w:ascii="Times New Roman" w:hAnsi="Times New Roman" w:cs="Times New Roman"/>
        </w:rPr>
        <w:t xml:space="preserve">here were very few responses </w:t>
      </w:r>
      <w:r w:rsidR="00DE3769" w:rsidRPr="00B51681">
        <w:rPr>
          <w:rFonts w:ascii="Times New Roman" w:hAnsi="Times New Roman" w:cs="Times New Roman"/>
        </w:rPr>
        <w:t>received. Due to obvious reason</w:t>
      </w:r>
      <w:r w:rsidR="00BA11D9">
        <w:rPr>
          <w:rFonts w:ascii="Times New Roman" w:hAnsi="Times New Roman" w:cs="Times New Roman"/>
        </w:rPr>
        <w:t>s</w:t>
      </w:r>
      <w:r w:rsidR="00DE3769" w:rsidRPr="00B51681">
        <w:rPr>
          <w:rFonts w:ascii="Times New Roman" w:hAnsi="Times New Roman" w:cs="Times New Roman"/>
        </w:rPr>
        <w:t xml:space="preserve">, many firms declined to provide data </w:t>
      </w:r>
      <w:r w:rsidRPr="00B51681">
        <w:rPr>
          <w:rFonts w:ascii="Times New Roman" w:hAnsi="Times New Roman" w:cs="Times New Roman"/>
        </w:rPr>
        <w:t>on sales</w:t>
      </w:r>
      <w:r w:rsidR="00DE3769" w:rsidRPr="00B51681">
        <w:rPr>
          <w:rFonts w:ascii="Times New Roman" w:hAnsi="Times New Roman" w:cs="Times New Roman"/>
        </w:rPr>
        <w:t xml:space="preserve"> and profit expectations. Finally, the questionnaire was shortened and </w:t>
      </w:r>
      <w:r w:rsidR="00B51681">
        <w:rPr>
          <w:rFonts w:ascii="Times New Roman" w:hAnsi="Times New Roman" w:cs="Times New Roman"/>
        </w:rPr>
        <w:t xml:space="preserve">the </w:t>
      </w:r>
      <w:r w:rsidR="000D0B24" w:rsidRPr="00B51681">
        <w:rPr>
          <w:rFonts w:ascii="Times New Roman" w:hAnsi="Times New Roman" w:cs="Times New Roman"/>
        </w:rPr>
        <w:t xml:space="preserve">data on only </w:t>
      </w:r>
      <w:r w:rsidR="00DE3769" w:rsidRPr="00B51681">
        <w:rPr>
          <w:rFonts w:ascii="Times New Roman" w:hAnsi="Times New Roman" w:cs="Times New Roman"/>
        </w:rPr>
        <w:t>inflation/cost were sought.</w:t>
      </w:r>
      <w:r w:rsidR="00B51681">
        <w:rPr>
          <w:rFonts w:ascii="Times New Roman" w:hAnsi="Times New Roman" w:cs="Times New Roman"/>
        </w:rPr>
        <w:t xml:space="preserve"> Accordingly, survey results are presented for inflation expectations and cost perceptions.</w:t>
      </w:r>
      <w:r w:rsidR="00740407">
        <w:rPr>
          <w:rFonts w:ascii="Times New Roman" w:hAnsi="Times New Roman" w:cs="Times New Roman"/>
        </w:rPr>
        <w:t xml:space="preserve"> </w:t>
      </w:r>
      <w:r w:rsidR="00740407" w:rsidRPr="00740407">
        <w:rPr>
          <w:rFonts w:ascii="Times New Roman" w:hAnsi="Times New Roman" w:cs="Times New Roman"/>
        </w:rPr>
        <w:t>The number of respondents in this round has gone below 1000.</w:t>
      </w:r>
    </w:p>
    <w:p w14:paraId="606A3395" w14:textId="1B88B922" w:rsidR="0060634C" w:rsidRDefault="00DE3769" w:rsidP="00C32EC0">
      <w:pPr>
        <w:spacing w:after="0" w:line="240" w:lineRule="auto"/>
        <w:rPr>
          <w:rFonts w:ascii="Times New Roman" w:hAnsi="Times New Roman" w:cs="Times New Roman"/>
          <w:b/>
        </w:rPr>
      </w:pPr>
      <w:r>
        <w:rPr>
          <w:rFonts w:ascii="Times New Roman" w:hAnsi="Times New Roman" w:cs="Times New Roman"/>
          <w:b/>
        </w:rPr>
        <w:t xml:space="preserve"> </w:t>
      </w:r>
      <w:r w:rsidR="0060634C">
        <w:rPr>
          <w:rFonts w:ascii="Times New Roman" w:hAnsi="Times New Roman" w:cs="Times New Roman"/>
          <w:b/>
        </w:rPr>
        <w:t xml:space="preserve">  </w:t>
      </w:r>
    </w:p>
    <w:p w14:paraId="354A3479" w14:textId="0FBBA384" w:rsidR="001D09C4" w:rsidRDefault="00961726" w:rsidP="00C32EC0">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C32EC0">
      <w:pPr>
        <w:spacing w:after="0" w:line="240" w:lineRule="auto"/>
        <w:rPr>
          <w:rFonts w:ascii="Times New Roman" w:hAnsi="Times New Roman" w:cs="Times New Roman"/>
          <w:b/>
        </w:rPr>
      </w:pPr>
    </w:p>
    <w:p w14:paraId="306CF0B5" w14:textId="2A4B0552" w:rsidR="00435AC3" w:rsidRPr="00EB118F" w:rsidRDefault="00435AC3" w:rsidP="00BA11D9">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w:t>
      </w:r>
      <w:r w:rsidR="00E914D9">
        <w:rPr>
          <w:rFonts w:ascii="Times New Roman" w:hAnsi="Times New Roman" w:cs="Times New Roman"/>
          <w:bCs/>
        </w:rPr>
        <w:t>April</w:t>
      </w:r>
      <w:r w:rsidR="003268A4">
        <w:rPr>
          <w:rFonts w:ascii="Times New Roman" w:hAnsi="Times New Roman" w:cs="Times New Roman"/>
          <w:bCs/>
        </w:rPr>
        <w:t xml:space="preserve">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ha</w:t>
      </w:r>
      <w:r w:rsidR="00BA11D9">
        <w:rPr>
          <w:rFonts w:ascii="Times New Roman" w:hAnsi="Times New Roman" w:cs="Times New Roman"/>
          <w:bCs/>
        </w:rPr>
        <w:t>ve</w:t>
      </w:r>
      <w:r>
        <w:rPr>
          <w:rFonts w:ascii="Times New Roman" w:hAnsi="Times New Roman" w:cs="Times New Roman"/>
          <w:bCs/>
        </w:rPr>
        <w:t xml:space="preserve"> </w:t>
      </w:r>
      <w:r w:rsidR="00E914D9">
        <w:rPr>
          <w:rFonts w:ascii="Times New Roman" w:hAnsi="Times New Roman" w:cs="Times New Roman"/>
          <w:bCs/>
        </w:rPr>
        <w:t xml:space="preserve">declined by 20 basis points to 4.37% from </w:t>
      </w:r>
      <w:r w:rsidR="00B10E39">
        <w:rPr>
          <w:rFonts w:ascii="Times New Roman" w:hAnsi="Times New Roman" w:cs="Times New Roman"/>
          <w:bCs/>
        </w:rPr>
        <w:t xml:space="preserve">4.57% </w:t>
      </w:r>
      <w:r w:rsidR="00472BB9">
        <w:rPr>
          <w:rFonts w:ascii="Times New Roman" w:hAnsi="Times New Roman" w:cs="Times New Roman"/>
          <w:bCs/>
        </w:rPr>
        <w:t xml:space="preserve">reported </w:t>
      </w:r>
      <w:r w:rsidR="002E0B96">
        <w:rPr>
          <w:rFonts w:ascii="Times New Roman" w:hAnsi="Times New Roman" w:cs="Times New Roman"/>
          <w:bCs/>
        </w:rPr>
        <w:t xml:space="preserve">in </w:t>
      </w:r>
      <w:r w:rsidR="00E914D9">
        <w:rPr>
          <w:rFonts w:ascii="Times New Roman" w:hAnsi="Times New Roman" w:cs="Times New Roman"/>
          <w:bCs/>
        </w:rPr>
        <w:t>March</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00E914D9">
        <w:rPr>
          <w:rFonts w:ascii="Times New Roman" w:hAnsi="Times New Roman" w:cs="Times New Roman"/>
          <w:bCs/>
        </w:rPr>
        <w:t>However</w:t>
      </w:r>
      <w:r w:rsidR="00C95CAB">
        <w:rPr>
          <w:rFonts w:ascii="Times New Roman" w:hAnsi="Times New Roman" w:cs="Times New Roman"/>
          <w:bCs/>
        </w:rPr>
        <w:t>, it has still remained over 4% for two consecutive months.</w:t>
      </w:r>
      <w:r w:rsidR="00507D28">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C32EC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25DB8EAB" w:rsidR="00435AC3" w:rsidRPr="000F5617" w:rsidRDefault="00435AC3" w:rsidP="00C32EC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D836A4">
        <w:rPr>
          <w:rFonts w:ascii="Times New Roman" w:hAnsi="Times New Roman" w:cs="Times New Roman"/>
          <w:bCs/>
        </w:rPr>
        <w:t xml:space="preserve">marginally </w:t>
      </w:r>
      <w:r w:rsidR="00E914D9">
        <w:rPr>
          <w:rFonts w:ascii="Times New Roman" w:hAnsi="Times New Roman" w:cs="Times New Roman"/>
          <w:bCs/>
        </w:rPr>
        <w:t xml:space="preserve">declined to </w:t>
      </w:r>
      <w:r w:rsidR="008E567C">
        <w:rPr>
          <w:rFonts w:ascii="Times New Roman" w:hAnsi="Times New Roman" w:cs="Times New Roman"/>
          <w:bCs/>
        </w:rPr>
        <w:t>2.</w:t>
      </w:r>
      <w:r w:rsidR="00E914D9">
        <w:rPr>
          <w:rFonts w:ascii="Times New Roman" w:hAnsi="Times New Roman" w:cs="Times New Roman"/>
          <w:bCs/>
        </w:rPr>
        <w:t>0</w:t>
      </w:r>
      <w:r w:rsidR="008E567C">
        <w:rPr>
          <w:rFonts w:ascii="Times New Roman" w:hAnsi="Times New Roman" w:cs="Times New Roman"/>
          <w:bCs/>
        </w:rPr>
        <w:t xml:space="preserve">% in </w:t>
      </w:r>
      <w:r w:rsidR="00E914D9">
        <w:rPr>
          <w:rFonts w:ascii="Times New Roman" w:hAnsi="Times New Roman" w:cs="Times New Roman"/>
          <w:bCs/>
        </w:rPr>
        <w:t>April</w:t>
      </w:r>
      <w:r w:rsidR="008E567C">
        <w:rPr>
          <w:rFonts w:ascii="Times New Roman" w:hAnsi="Times New Roman" w:cs="Times New Roman"/>
          <w:bCs/>
        </w:rPr>
        <w:t xml:space="preserve"> 2020 from</w:t>
      </w:r>
      <w:r w:rsidR="00E22CE6">
        <w:rPr>
          <w:rFonts w:ascii="Times New Roman" w:hAnsi="Times New Roman" w:cs="Times New Roman"/>
          <w:bCs/>
        </w:rPr>
        <w:t xml:space="preserve"> around </w:t>
      </w:r>
      <w:r w:rsidR="00164F51">
        <w:rPr>
          <w:rFonts w:ascii="Times New Roman" w:hAnsi="Times New Roman" w:cs="Times New Roman"/>
          <w:bCs/>
        </w:rPr>
        <w:t>2</w:t>
      </w:r>
      <w:r w:rsidR="00E914D9">
        <w:rPr>
          <w:rFonts w:ascii="Times New Roman" w:hAnsi="Times New Roman" w:cs="Times New Roman"/>
          <w:bCs/>
        </w:rPr>
        <w:t>.1</w:t>
      </w:r>
      <w:r w:rsidR="00164F51">
        <w:rPr>
          <w:rFonts w:ascii="Times New Roman" w:hAnsi="Times New Roman" w:cs="Times New Roman"/>
          <w:bCs/>
        </w:rPr>
        <w:t xml:space="preserve">% </w:t>
      </w:r>
      <w:r w:rsidR="008E567C">
        <w:rPr>
          <w:rFonts w:ascii="Times New Roman" w:hAnsi="Times New Roman" w:cs="Times New Roman"/>
          <w:bCs/>
        </w:rPr>
        <w:t>in</w:t>
      </w:r>
      <w:r w:rsidR="00015185">
        <w:rPr>
          <w:rFonts w:ascii="Times New Roman" w:hAnsi="Times New Roman" w:cs="Times New Roman"/>
          <w:bCs/>
        </w:rPr>
        <w:t xml:space="preserve"> </w:t>
      </w:r>
      <w:r w:rsidR="00E914D9">
        <w:rPr>
          <w:rFonts w:ascii="Times New Roman" w:hAnsi="Times New Roman" w:cs="Times New Roman"/>
          <w:bCs/>
        </w:rPr>
        <w:t>March</w:t>
      </w:r>
      <w:r w:rsidR="00015185">
        <w:rPr>
          <w:rFonts w:ascii="Times New Roman" w:hAnsi="Times New Roman" w:cs="Times New Roman"/>
          <w:bCs/>
        </w:rPr>
        <w:t xml:space="preserve"> 2020</w:t>
      </w:r>
      <w:r w:rsidRPr="00FC49EB">
        <w:rPr>
          <w:rFonts w:ascii="Times New Roman" w:hAnsi="Times New Roman" w:cs="Times New Roman"/>
          <w:bCs/>
        </w:rPr>
        <w:t>.</w:t>
      </w:r>
    </w:p>
    <w:p w14:paraId="0DF0BC20" w14:textId="77777777" w:rsidR="000F5617" w:rsidRDefault="000F5617" w:rsidP="00C32EC0">
      <w:pPr>
        <w:spacing w:after="0" w:line="240" w:lineRule="auto"/>
        <w:jc w:val="center"/>
        <w:rPr>
          <w:rFonts w:ascii="Times New Roman" w:hAnsi="Times New Roman" w:cs="Times New Roman"/>
          <w:b/>
        </w:rPr>
      </w:pPr>
    </w:p>
    <w:p w14:paraId="2BC81099" w14:textId="6D0AC1E4" w:rsidR="001D09C4" w:rsidRDefault="001D09C4" w:rsidP="00C32EC0">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50BD4854" w14:textId="77777777" w:rsidR="00E914D9" w:rsidRDefault="00E914D9" w:rsidP="00C32EC0">
      <w:pPr>
        <w:spacing w:after="0" w:line="240" w:lineRule="auto"/>
        <w:jc w:val="center"/>
        <w:rPr>
          <w:rFonts w:ascii="Times New Roman" w:hAnsi="Times New Roman" w:cs="Times New Roman"/>
          <w:b/>
        </w:rPr>
      </w:pPr>
    </w:p>
    <w:p w14:paraId="1FC857FB" w14:textId="729D9A1A" w:rsidR="006E4700" w:rsidRDefault="00E914D9" w:rsidP="00C32EC0">
      <w:pPr>
        <w:spacing w:after="0" w:line="240" w:lineRule="auto"/>
        <w:jc w:val="center"/>
        <w:rPr>
          <w:noProof/>
          <w:lang w:eastAsia="en-IN"/>
        </w:rPr>
      </w:pPr>
      <w:r>
        <w:rPr>
          <w:noProof/>
          <w:lang w:eastAsia="en-IN"/>
        </w:rPr>
        <w:lastRenderedPageBreak/>
        <mc:AlternateContent>
          <mc:Choice Requires="wps">
            <w:drawing>
              <wp:anchor distT="0" distB="0" distL="114300" distR="114300" simplePos="0" relativeHeight="251659264" behindDoc="0" locked="0" layoutInCell="1" allowOverlap="1" wp14:anchorId="232DDB65" wp14:editId="6F40D77B">
                <wp:simplePos x="0" y="0"/>
                <wp:positionH relativeFrom="column">
                  <wp:posOffset>4381500</wp:posOffset>
                </wp:positionH>
                <wp:positionV relativeFrom="paragraph">
                  <wp:posOffset>813435</wp:posOffset>
                </wp:positionV>
                <wp:extent cx="800100" cy="476250"/>
                <wp:effectExtent l="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800100" cy="476250"/>
                        </a:xfrm>
                        <a:prstGeom prst="straightConnector1">
                          <a:avLst/>
                        </a:prstGeom>
                        <a:ln w="12700">
                          <a:solidFill>
                            <a:srgbClr val="00206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C9793F" id="_x0000_t32" coordsize="21600,21600" o:spt="32" o:oned="t" path="m,l21600,21600e" filled="f">
                <v:path arrowok="t" fillok="f" o:connecttype="none"/>
                <o:lock v:ext="edit" shapetype="t"/>
              </v:shapetype>
              <v:shape id="Straight Arrow Connector 5" o:spid="_x0000_s1026" type="#_x0000_t32" style="position:absolute;margin-left:345pt;margin-top:64.05pt;width:63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" strokecolor="#002060" strokeweight="1pt">
                <v:stroke dashstyle="3 1" endarrow="block" joinstyle="miter"/>
              </v:shape>
            </w:pict>
          </mc:Fallback>
        </mc:AlternateContent>
      </w:r>
      <w:r w:rsidR="0060634C">
        <w:rPr>
          <w:noProof/>
          <w:lang w:eastAsia="en-IN"/>
        </w:rPr>
        <w:drawing>
          <wp:inline distT="0" distB="0" distL="0" distR="0" wp14:anchorId="05134CFE" wp14:editId="48CE5901">
            <wp:extent cx="5121910" cy="2257425"/>
            <wp:effectExtent l="0" t="0" r="254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7F06E3" w14:textId="10357675" w:rsidR="00D30231" w:rsidRDefault="00D30231" w:rsidP="00C32EC0">
      <w:pPr>
        <w:spacing w:after="0" w:line="240" w:lineRule="auto"/>
        <w:jc w:val="center"/>
        <w:rPr>
          <w:noProof/>
          <w:lang w:eastAsia="en-IN"/>
        </w:rPr>
      </w:pPr>
    </w:p>
    <w:p w14:paraId="32E564A0" w14:textId="5586D1BC" w:rsidR="00AA63A1" w:rsidRDefault="00961726" w:rsidP="00C32EC0">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C32EC0">
      <w:pPr>
        <w:spacing w:after="0" w:line="240" w:lineRule="auto"/>
        <w:rPr>
          <w:rFonts w:ascii="Times New Roman" w:hAnsi="Times New Roman" w:cs="Times New Roman"/>
          <w:b/>
          <w:bCs/>
        </w:rPr>
      </w:pPr>
    </w:p>
    <w:p w14:paraId="5F54173D" w14:textId="6DE0D9ED" w:rsidR="00CC1C45" w:rsidRDefault="005517F3" w:rsidP="00C32EC0">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D836A4">
        <w:rPr>
          <w:rFonts w:ascii="Times New Roman" w:hAnsi="Times New Roman" w:cs="Times New Roman"/>
        </w:rPr>
        <w:t xml:space="preserve">clear </w:t>
      </w:r>
      <w:r w:rsidR="00320D86" w:rsidRPr="00320D86">
        <w:rPr>
          <w:rFonts w:ascii="Times New Roman" w:hAnsi="Times New Roman" w:cs="Times New Roman"/>
        </w:rPr>
        <w:t>signs of cost pressures building up</w:t>
      </w:r>
      <w:r w:rsidR="00DB27C4">
        <w:rPr>
          <w:rFonts w:ascii="Times New Roman" w:hAnsi="Times New Roman" w:cs="Times New Roman"/>
        </w:rPr>
        <w:t>.</w:t>
      </w:r>
      <w:r w:rsidR="00320D86" w:rsidRPr="00320D86">
        <w:rPr>
          <w:rFonts w:ascii="Times New Roman" w:hAnsi="Times New Roman" w:cs="Times New Roman"/>
        </w:rPr>
        <w:t xml:space="preserve"> </w:t>
      </w:r>
    </w:p>
    <w:p w14:paraId="0C976AB1" w14:textId="77777777" w:rsidR="00CC1C45" w:rsidRDefault="00CC1C45" w:rsidP="00C32EC0">
      <w:pPr>
        <w:pStyle w:val="ListParagraph"/>
        <w:spacing w:after="0" w:line="240" w:lineRule="auto"/>
        <w:jc w:val="both"/>
        <w:rPr>
          <w:rFonts w:ascii="Times New Roman" w:hAnsi="Times New Roman" w:cs="Times New Roman"/>
        </w:rPr>
      </w:pPr>
    </w:p>
    <w:p w14:paraId="25CB0336" w14:textId="160D29E7" w:rsidR="009872D1" w:rsidRPr="009872D1" w:rsidRDefault="00D836A4" w:rsidP="00BA11D9">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Over</w:t>
      </w:r>
      <w:r w:rsidR="00CC1C45">
        <w:rPr>
          <w:rFonts w:ascii="Times New Roman" w:hAnsi="Times New Roman" w:cs="Times New Roman"/>
        </w:rPr>
        <w:t xml:space="preserve"> </w:t>
      </w:r>
      <w:r w:rsidR="00DB27C4">
        <w:rPr>
          <w:rFonts w:ascii="Times New Roman" w:hAnsi="Times New Roman" w:cs="Times New Roman"/>
        </w:rPr>
        <w:t>5</w:t>
      </w:r>
      <w:r w:rsidR="00F6194A">
        <w:rPr>
          <w:rFonts w:ascii="Times New Roman" w:hAnsi="Times New Roman" w:cs="Times New Roman"/>
        </w:rPr>
        <w:t>7</w:t>
      </w:r>
      <w:r w:rsidR="00CC1C45">
        <w:rPr>
          <w:rFonts w:ascii="Times New Roman" w:hAnsi="Times New Roman" w:cs="Times New Roman"/>
        </w:rPr>
        <w:t xml:space="preserve">% of the firms believe that the current cost increase is 3.1% and </w:t>
      </w:r>
      <w:r w:rsidR="00F765CE">
        <w:rPr>
          <w:rFonts w:ascii="Times New Roman" w:hAnsi="Times New Roman" w:cs="Times New Roman"/>
        </w:rPr>
        <w:t>above</w:t>
      </w:r>
      <w:r w:rsidR="00AE5FF5">
        <w:rPr>
          <w:rFonts w:ascii="Times New Roman" w:hAnsi="Times New Roman" w:cs="Times New Roman"/>
        </w:rPr>
        <w:t xml:space="preserve"> </w:t>
      </w:r>
      <w:r w:rsidR="000872BA">
        <w:rPr>
          <w:rFonts w:ascii="Times New Roman" w:hAnsi="Times New Roman" w:cs="Times New Roman"/>
        </w:rPr>
        <w:t>as compared to the same time last year</w:t>
      </w:r>
      <w:r w:rsidR="00CC1C45">
        <w:rPr>
          <w:rFonts w:ascii="Times New Roman" w:hAnsi="Times New Roman" w:cs="Times New Roman"/>
        </w:rPr>
        <w:t xml:space="preserve">. </w:t>
      </w:r>
      <w:r w:rsidR="00F6194A">
        <w:rPr>
          <w:rFonts w:ascii="Times New Roman" w:hAnsi="Times New Roman" w:cs="Times New Roman"/>
        </w:rPr>
        <w:t xml:space="preserve">Over </w:t>
      </w:r>
      <w:r>
        <w:rPr>
          <w:rFonts w:ascii="Times New Roman" w:hAnsi="Times New Roman" w:cs="Times New Roman"/>
        </w:rPr>
        <w:t>2/5</w:t>
      </w:r>
      <w:r w:rsidRPr="00D836A4">
        <w:rPr>
          <w:rFonts w:ascii="Times New Roman" w:hAnsi="Times New Roman" w:cs="Times New Roman"/>
          <w:vertAlign w:val="superscript"/>
        </w:rPr>
        <w:t>th</w:t>
      </w:r>
      <w:r>
        <w:rPr>
          <w:rFonts w:ascii="Times New Roman" w:hAnsi="Times New Roman" w:cs="Times New Roman"/>
        </w:rPr>
        <w:t xml:space="preserve"> </w:t>
      </w:r>
      <w:r w:rsidR="000872BA">
        <w:rPr>
          <w:rFonts w:ascii="Times New Roman" w:hAnsi="Times New Roman" w:cs="Times New Roman"/>
        </w:rPr>
        <w:t xml:space="preserve">of the firms perceive </w:t>
      </w:r>
      <w:r w:rsidR="00E645D1">
        <w:rPr>
          <w:rFonts w:ascii="Times New Roman" w:hAnsi="Times New Roman" w:cs="Times New Roman"/>
        </w:rPr>
        <w:t xml:space="preserve">that </w:t>
      </w:r>
      <w:r w:rsidR="000872BA">
        <w:rPr>
          <w:rFonts w:ascii="Times New Roman" w:hAnsi="Times New Roman" w:cs="Times New Roman"/>
        </w:rPr>
        <w:t>the current cost increase i</w:t>
      </w:r>
      <w:r w:rsidR="00E645D1">
        <w:rPr>
          <w:rFonts w:ascii="Times New Roman" w:hAnsi="Times New Roman" w:cs="Times New Roman"/>
        </w:rPr>
        <w:t>s</w:t>
      </w:r>
      <w:r w:rsidR="000872BA">
        <w:rPr>
          <w:rFonts w:ascii="Times New Roman" w:hAnsi="Times New Roman" w:cs="Times New Roman"/>
        </w:rPr>
        <w:t xml:space="preserve"> over 6%</w:t>
      </w:r>
      <w:r w:rsidR="00A23CB7">
        <w:rPr>
          <w:rFonts w:ascii="Times New Roman" w:hAnsi="Times New Roman" w:cs="Times New Roman"/>
        </w:rPr>
        <w:t xml:space="preserve">. </w:t>
      </w:r>
      <w:r w:rsidR="00BA11D9">
        <w:rPr>
          <w:rFonts w:ascii="Times New Roman" w:hAnsi="Times New Roman" w:cs="Times New Roman"/>
        </w:rPr>
        <w:t>It is pertinent to note that now</w:t>
      </w:r>
      <w:r w:rsidR="00DB27C4">
        <w:rPr>
          <w:rFonts w:ascii="Times New Roman" w:hAnsi="Times New Roman" w:cs="Times New Roman"/>
        </w:rPr>
        <w:t xml:space="preserve"> over </w:t>
      </w:r>
      <w:r>
        <w:rPr>
          <w:rFonts w:ascii="Times New Roman" w:hAnsi="Times New Roman" w:cs="Times New Roman"/>
        </w:rPr>
        <w:t>1/</w:t>
      </w:r>
      <w:r w:rsidR="00F6194A">
        <w:rPr>
          <w:rFonts w:ascii="Times New Roman" w:hAnsi="Times New Roman" w:cs="Times New Roman"/>
        </w:rPr>
        <w:t>5</w:t>
      </w:r>
      <w:r w:rsidRPr="00D836A4">
        <w:rPr>
          <w:rFonts w:ascii="Times New Roman" w:hAnsi="Times New Roman" w:cs="Times New Roman"/>
          <w:vertAlign w:val="superscript"/>
        </w:rPr>
        <w:t>th</w:t>
      </w:r>
      <w:r>
        <w:rPr>
          <w:rFonts w:ascii="Times New Roman" w:hAnsi="Times New Roman" w:cs="Times New Roman"/>
        </w:rPr>
        <w:t xml:space="preserve"> of the</w:t>
      </w:r>
      <w:r w:rsidR="00DB27C4">
        <w:rPr>
          <w:rFonts w:ascii="Times New Roman" w:hAnsi="Times New Roman" w:cs="Times New Roman"/>
        </w:rPr>
        <w:t xml:space="preserve"> firms perceive that current cost increase </w:t>
      </w:r>
      <w:r w:rsidR="00A23CB7">
        <w:rPr>
          <w:rFonts w:ascii="Times New Roman" w:hAnsi="Times New Roman" w:cs="Times New Roman"/>
        </w:rPr>
        <w:t>is over 10%</w:t>
      </w:r>
      <w:r w:rsidR="000872BA">
        <w:rPr>
          <w:rFonts w:ascii="Times New Roman" w:hAnsi="Times New Roman" w:cs="Times New Roman"/>
        </w:rPr>
        <w:t xml:space="preserve"> </w:t>
      </w:r>
      <w:r w:rsidR="009B4441">
        <w:rPr>
          <w:rFonts w:ascii="Times New Roman" w:hAnsi="Times New Roman" w:cs="Times New Roman"/>
        </w:rPr>
        <w:t xml:space="preserve">(Chart </w:t>
      </w:r>
      <w:r w:rsidR="002B7C03">
        <w:rPr>
          <w:rFonts w:ascii="Times New Roman" w:hAnsi="Times New Roman" w:cs="Times New Roman"/>
        </w:rPr>
        <w:t>2</w:t>
      </w:r>
      <w:r w:rsidR="00320D86">
        <w:rPr>
          <w:rFonts w:ascii="Times New Roman" w:hAnsi="Times New Roman" w:cs="Times New Roman"/>
        </w:rPr>
        <w:t>)</w:t>
      </w:r>
      <w:r w:rsidR="00435AC3" w:rsidRPr="00320D86">
        <w:rPr>
          <w:rFonts w:ascii="Times New Roman" w:hAnsi="Times New Roman" w:cs="Times New Roman"/>
        </w:rPr>
        <w:t>.</w:t>
      </w:r>
    </w:p>
    <w:p w14:paraId="7CF4A145" w14:textId="77777777" w:rsidR="00F503C6" w:rsidRDefault="00F503C6" w:rsidP="00C32EC0">
      <w:pPr>
        <w:pStyle w:val="ListParagraph"/>
        <w:spacing w:after="0" w:line="240" w:lineRule="auto"/>
        <w:jc w:val="both"/>
        <w:rPr>
          <w:rFonts w:ascii="Times New Roman" w:hAnsi="Times New Roman" w:cs="Times New Roman"/>
        </w:rPr>
      </w:pPr>
    </w:p>
    <w:p w14:paraId="4A09BD89" w14:textId="3818510D" w:rsidR="00AA63A1" w:rsidRDefault="00AA63A1" w:rsidP="00C32EC0">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F97518">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7EA4062" w14:textId="49D6B83E" w:rsidR="00A31435" w:rsidRDefault="00A31435" w:rsidP="00C32EC0">
      <w:pPr>
        <w:spacing w:after="0" w:line="240" w:lineRule="auto"/>
        <w:jc w:val="center"/>
        <w:rPr>
          <w:rFonts w:ascii="Times New Roman" w:hAnsi="Times New Roman" w:cs="Times New Roman"/>
          <w:b/>
          <w:bCs/>
          <w:lang w:val="en-US"/>
        </w:rPr>
      </w:pPr>
    </w:p>
    <w:p w14:paraId="4D66F086" w14:textId="59893275" w:rsidR="00A31435" w:rsidRDefault="00A31435" w:rsidP="00C32EC0">
      <w:pPr>
        <w:spacing w:after="0" w:line="240" w:lineRule="auto"/>
        <w:jc w:val="center"/>
        <w:rPr>
          <w:rFonts w:ascii="Times New Roman" w:hAnsi="Times New Roman" w:cs="Times New Roman"/>
          <w:b/>
          <w:bCs/>
          <w:lang w:val="en-US"/>
        </w:rPr>
      </w:pPr>
      <w:r>
        <w:rPr>
          <w:noProof/>
          <w:lang w:eastAsia="en-IN"/>
        </w:rPr>
        <w:drawing>
          <wp:inline distT="0" distB="0" distL="0" distR="0" wp14:anchorId="7F61A07F" wp14:editId="2C5E9938">
            <wp:extent cx="5343525" cy="26384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5E97FC" w14:textId="68A7E7AE" w:rsidR="00A31435" w:rsidRDefault="00A31435" w:rsidP="00C32EC0">
      <w:pPr>
        <w:spacing w:after="0" w:line="240" w:lineRule="auto"/>
        <w:jc w:val="center"/>
        <w:rPr>
          <w:rFonts w:ascii="Times New Roman" w:hAnsi="Times New Roman" w:cs="Times New Roman"/>
          <w:b/>
          <w:bCs/>
          <w:lang w:val="en-US"/>
        </w:rPr>
      </w:pPr>
    </w:p>
    <w:p w14:paraId="026B8BF8" w14:textId="77777777" w:rsidR="00672158" w:rsidRDefault="00672158" w:rsidP="00672158">
      <w:pPr>
        <w:spacing w:after="0" w:line="240" w:lineRule="auto"/>
        <w:jc w:val="both"/>
        <w:rPr>
          <w:i/>
          <w:iCs/>
          <w:sz w:val="24"/>
          <w:szCs w:val="24"/>
          <w:u w:val="single"/>
        </w:rPr>
      </w:pPr>
    </w:p>
    <w:p w14:paraId="72E54929" w14:textId="77777777" w:rsidR="00672158" w:rsidRPr="00AB144A" w:rsidRDefault="00672158" w:rsidP="00672158">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6134ABB4" w14:textId="77777777" w:rsidR="00672158" w:rsidRPr="00AB144A" w:rsidRDefault="00672158" w:rsidP="00672158">
      <w:pPr>
        <w:spacing w:after="0" w:line="240" w:lineRule="auto"/>
        <w:ind w:left="360"/>
        <w:jc w:val="both"/>
        <w:rPr>
          <w:rFonts w:ascii="Times New Roman" w:hAnsi="Times New Roman" w:cs="Times New Roman"/>
          <w:i/>
          <w:iCs/>
          <w:sz w:val="20"/>
          <w:szCs w:val="20"/>
          <w:u w:val="single"/>
        </w:rPr>
      </w:pPr>
    </w:p>
    <w:p w14:paraId="3CAC0902" w14:textId="77777777" w:rsidR="00672158" w:rsidRPr="00AB144A" w:rsidRDefault="00672158" w:rsidP="00672158">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 xml:space="preserve">Deepak Bhatt </w:t>
      </w:r>
    </w:p>
    <w:p w14:paraId="2EE26BCB" w14:textId="77777777" w:rsidR="00672158" w:rsidRPr="00AB144A" w:rsidRDefault="00672158" w:rsidP="00672158">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Manager, Communication</w:t>
      </w:r>
    </w:p>
    <w:p w14:paraId="3F4E0AF6" w14:textId="77777777" w:rsidR="00672158" w:rsidRPr="00AB144A" w:rsidRDefault="00672158" w:rsidP="00672158">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+91-9426229429, (O) +91-79-7152 4683, Email: </w:t>
      </w:r>
      <w:hyperlink r:id="rId11" w:history="1">
        <w:r w:rsidRPr="00AB144A">
          <w:rPr>
            <w:rStyle w:val="Hyperlink"/>
            <w:rFonts w:ascii="Times New Roman" w:hAnsi="Times New Roman" w:cs="Times New Roman"/>
            <w:sz w:val="20"/>
            <w:szCs w:val="20"/>
          </w:rPr>
          <w:t>mngr-comm@iima.ac.in</w:t>
        </w:r>
      </w:hyperlink>
    </w:p>
    <w:p w14:paraId="30074C65" w14:textId="77777777" w:rsidR="00672158" w:rsidRPr="00AB144A" w:rsidRDefault="00672158" w:rsidP="00672158">
      <w:pPr>
        <w:spacing w:after="0" w:line="240" w:lineRule="auto"/>
        <w:ind w:left="360"/>
        <w:jc w:val="both"/>
        <w:rPr>
          <w:rFonts w:ascii="Times New Roman" w:hAnsi="Times New Roman" w:cs="Times New Roman"/>
          <w:sz w:val="20"/>
          <w:szCs w:val="20"/>
        </w:rPr>
      </w:pPr>
    </w:p>
    <w:p w14:paraId="230A8E0B" w14:textId="77777777" w:rsidR="00672158" w:rsidRPr="00AB144A" w:rsidRDefault="00672158" w:rsidP="00672158">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66F7FD2F" w14:textId="77777777" w:rsidR="00672158" w:rsidRPr="00AB144A" w:rsidRDefault="00672158" w:rsidP="00672158">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0AC7D2E2" w14:textId="16E899DF" w:rsidR="00A31435" w:rsidRPr="00672158" w:rsidRDefault="00672158" w:rsidP="00672158">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2" w:history="1">
        <w:r w:rsidRPr="00AB144A">
          <w:rPr>
            <w:rStyle w:val="Hyperlink"/>
            <w:rFonts w:ascii="Times New Roman" w:hAnsi="Times New Roman" w:cs="Times New Roman"/>
            <w:sz w:val="20"/>
            <w:szCs w:val="20"/>
          </w:rPr>
          <w:t>pr@iima.ac.in</w:t>
        </w:r>
      </w:hyperlink>
    </w:p>
    <w:p w14:paraId="40C385FF" w14:textId="6F852285" w:rsidR="009872D1" w:rsidRDefault="009872D1" w:rsidP="001C1C3E">
      <w:pPr>
        <w:spacing w:after="0" w:line="240" w:lineRule="auto"/>
        <w:rPr>
          <w:noProof/>
          <w:lang w:eastAsia="en-IN"/>
        </w:rPr>
      </w:pPr>
    </w:p>
    <w:p w14:paraId="4E6C8D9D" w14:textId="167786EC" w:rsidR="00F97518" w:rsidRDefault="00F97518" w:rsidP="00C32EC0">
      <w:pPr>
        <w:spacing w:after="0" w:line="240" w:lineRule="auto"/>
        <w:jc w:val="center"/>
        <w:rPr>
          <w:noProof/>
          <w:lang w:eastAsia="en-IN"/>
        </w:rPr>
      </w:pPr>
    </w:p>
    <w:p w14:paraId="3C0EC55A" w14:textId="0D488E0D" w:rsidR="009F5421" w:rsidRDefault="009F5421" w:rsidP="001C1C3E">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C32EC0">
      <w:pPr>
        <w:spacing w:after="0" w:line="240" w:lineRule="auto"/>
        <w:rPr>
          <w:rFonts w:ascii="Times New Roman" w:hAnsi="Times New Roman" w:cs="Times New Roman"/>
          <w:b/>
          <w:bCs/>
          <w:sz w:val="28"/>
          <w:szCs w:val="28"/>
        </w:rPr>
      </w:pPr>
    </w:p>
    <w:tbl>
      <w:tblPr>
        <w:tblStyle w:val="TableGrid"/>
        <w:tblW w:w="9810" w:type="dxa"/>
        <w:jc w:val="center"/>
        <w:tblLook w:val="04A0" w:firstRow="1" w:lastRow="0" w:firstColumn="1" w:lastColumn="0" w:noHBand="0" w:noVBand="1"/>
      </w:tblPr>
      <w:tblGrid>
        <w:gridCol w:w="9810"/>
      </w:tblGrid>
      <w:tr w:rsidR="009F5421" w:rsidRPr="009F5421" w14:paraId="70712FC1" w14:textId="77777777" w:rsidTr="001C1C3E">
        <w:trPr>
          <w:jc w:val="center"/>
        </w:trPr>
        <w:tc>
          <w:tcPr>
            <w:tcW w:w="9810" w:type="dxa"/>
          </w:tcPr>
          <w:p w14:paraId="63332A76" w14:textId="77777777" w:rsidR="009F5421" w:rsidRPr="009F5421" w:rsidRDefault="009F5421" w:rsidP="00C32EC0">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C32EC0">
            <w:pPr>
              <w:pStyle w:val="NormalWeb"/>
              <w:spacing w:before="0" w:beforeAutospacing="0" w:after="0" w:afterAutospacing="0"/>
              <w:jc w:val="both"/>
              <w:rPr>
                <w:sz w:val="22"/>
                <w:szCs w:val="22"/>
              </w:rPr>
            </w:pPr>
          </w:p>
          <w:p w14:paraId="7FE4ADA9" w14:textId="77777777" w:rsidR="009F5421" w:rsidRPr="009F5421" w:rsidRDefault="009F5421" w:rsidP="00C32EC0">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C32EC0">
            <w:pPr>
              <w:pStyle w:val="NormalWeb"/>
              <w:spacing w:before="0" w:beforeAutospacing="0" w:after="0" w:afterAutospacing="0"/>
              <w:jc w:val="both"/>
              <w:rPr>
                <w:sz w:val="22"/>
                <w:szCs w:val="22"/>
              </w:rPr>
            </w:pPr>
          </w:p>
          <w:p w14:paraId="48E34079" w14:textId="77777777" w:rsidR="009F5421" w:rsidRPr="009F5421" w:rsidRDefault="009F5421" w:rsidP="00C32EC0">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C32EC0">
            <w:pPr>
              <w:pStyle w:val="NormalWeb"/>
              <w:spacing w:before="0" w:beforeAutospacing="0" w:after="0" w:afterAutospacing="0"/>
              <w:ind w:left="1800"/>
              <w:jc w:val="both"/>
              <w:rPr>
                <w:sz w:val="22"/>
                <w:szCs w:val="22"/>
              </w:rPr>
            </w:pPr>
          </w:p>
          <w:p w14:paraId="14A7EFFE" w14:textId="32981CC1" w:rsidR="002B2E73" w:rsidRDefault="002B2E73"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C32EC0">
            <w:pPr>
              <w:spacing w:after="0" w:line="240" w:lineRule="auto"/>
              <w:contextualSpacing/>
              <w:rPr>
                <w:rFonts w:ascii="Times New Roman" w:hAnsi="Times New Roman" w:cs="Times New Roman"/>
                <w:b/>
              </w:rPr>
            </w:pPr>
          </w:p>
        </w:tc>
      </w:tr>
      <w:tr w:rsidR="009F5421" w:rsidRPr="009F5421" w14:paraId="774338C0" w14:textId="77777777" w:rsidTr="001C1C3E">
        <w:trPr>
          <w:jc w:val="center"/>
        </w:trPr>
        <w:tc>
          <w:tcPr>
            <w:tcW w:w="9810" w:type="dxa"/>
          </w:tcPr>
          <w:p w14:paraId="4141F7F9" w14:textId="33F56317"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C32EC0">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C32EC0">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C32EC0">
            <w:pPr>
              <w:spacing w:after="0" w:line="240" w:lineRule="auto"/>
              <w:contextualSpacing/>
              <w:rPr>
                <w:rFonts w:ascii="Times New Roman" w:hAnsi="Times New Roman" w:cs="Times New Roman"/>
                <w:b/>
                <w:i/>
              </w:rPr>
            </w:pPr>
          </w:p>
        </w:tc>
      </w:tr>
      <w:tr w:rsidR="009F5421" w:rsidRPr="009F5421" w14:paraId="00AB4649" w14:textId="77777777" w:rsidTr="001C1C3E">
        <w:trPr>
          <w:jc w:val="center"/>
        </w:trPr>
        <w:tc>
          <w:tcPr>
            <w:tcW w:w="9810" w:type="dxa"/>
          </w:tcPr>
          <w:p w14:paraId="68E513D6" w14:textId="0AD847BD"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C32EC0">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C32EC0">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C32EC0">
            <w:pPr>
              <w:spacing w:after="0" w:line="240" w:lineRule="auto"/>
              <w:contextualSpacing/>
              <w:rPr>
                <w:rFonts w:ascii="Times New Roman" w:hAnsi="Times New Roman" w:cs="Times New Roman"/>
                <w:i/>
                <w:vertAlign w:val="superscript"/>
              </w:rPr>
            </w:pPr>
          </w:p>
          <w:p w14:paraId="6CA33490" w14:textId="788FD362" w:rsidR="009F5421" w:rsidRPr="009F5421" w:rsidRDefault="00A44EBC"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C32EC0">
            <w:pPr>
              <w:spacing w:after="0" w:line="240" w:lineRule="auto"/>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C32EC0">
      <w:pPr>
        <w:spacing w:after="0" w:line="240" w:lineRule="auto"/>
        <w:jc w:val="center"/>
        <w:rPr>
          <w:b/>
          <w:sz w:val="32"/>
          <w:szCs w:val="32"/>
        </w:rPr>
      </w:pPr>
    </w:p>
    <w:sectPr w:rsidR="009F5421" w:rsidRPr="00925659" w:rsidSect="00584765">
      <w:headerReference w:type="default" r:id="rId13"/>
      <w:footerReference w:type="default" r:id="rId14"/>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55804" w14:textId="77777777" w:rsidR="00513E5B" w:rsidRDefault="00513E5B" w:rsidP="00B81990">
      <w:pPr>
        <w:spacing w:after="0" w:line="240" w:lineRule="auto"/>
      </w:pPr>
      <w:r>
        <w:separator/>
      </w:r>
    </w:p>
  </w:endnote>
  <w:endnote w:type="continuationSeparator" w:id="0">
    <w:p w14:paraId="5245D40D" w14:textId="77777777" w:rsidR="00513E5B" w:rsidRDefault="00513E5B"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04FEB6F3"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684F6A">
          <w:rPr>
            <w:rFonts w:ascii="Times New Roman" w:hAnsi="Times New Roman" w:cs="Times New Roman"/>
            <w:noProof/>
          </w:rPr>
          <w:t>3</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F576" w14:textId="77777777" w:rsidR="00513E5B" w:rsidRDefault="00513E5B" w:rsidP="00B81990">
      <w:pPr>
        <w:spacing w:after="0" w:line="240" w:lineRule="auto"/>
      </w:pPr>
      <w:r>
        <w:separator/>
      </w:r>
    </w:p>
  </w:footnote>
  <w:footnote w:type="continuationSeparator" w:id="0">
    <w:p w14:paraId="0E76D184" w14:textId="77777777" w:rsidR="00513E5B" w:rsidRDefault="00513E5B" w:rsidP="00B8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30321C41"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57"/>
    <w:rsid w:val="00000209"/>
    <w:rsid w:val="00013CAF"/>
    <w:rsid w:val="0001471A"/>
    <w:rsid w:val="00015185"/>
    <w:rsid w:val="00015A8B"/>
    <w:rsid w:val="00021AB1"/>
    <w:rsid w:val="00025620"/>
    <w:rsid w:val="00026033"/>
    <w:rsid w:val="000302BE"/>
    <w:rsid w:val="00031DFE"/>
    <w:rsid w:val="00034A5A"/>
    <w:rsid w:val="00037176"/>
    <w:rsid w:val="0004003F"/>
    <w:rsid w:val="00053843"/>
    <w:rsid w:val="000628D6"/>
    <w:rsid w:val="00065202"/>
    <w:rsid w:val="00065EDD"/>
    <w:rsid w:val="000679C4"/>
    <w:rsid w:val="000701A1"/>
    <w:rsid w:val="000716F4"/>
    <w:rsid w:val="00084082"/>
    <w:rsid w:val="000872BA"/>
    <w:rsid w:val="00093B14"/>
    <w:rsid w:val="00097167"/>
    <w:rsid w:val="0009761D"/>
    <w:rsid w:val="000A07D6"/>
    <w:rsid w:val="000A10BC"/>
    <w:rsid w:val="000A1926"/>
    <w:rsid w:val="000A6FCF"/>
    <w:rsid w:val="000B078A"/>
    <w:rsid w:val="000B340F"/>
    <w:rsid w:val="000B3470"/>
    <w:rsid w:val="000B5383"/>
    <w:rsid w:val="000C390A"/>
    <w:rsid w:val="000D0B24"/>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158B6"/>
    <w:rsid w:val="00117EA6"/>
    <w:rsid w:val="00123D0E"/>
    <w:rsid w:val="0013692E"/>
    <w:rsid w:val="00151017"/>
    <w:rsid w:val="0016283C"/>
    <w:rsid w:val="00164F51"/>
    <w:rsid w:val="001655AC"/>
    <w:rsid w:val="00166A4E"/>
    <w:rsid w:val="00172D2F"/>
    <w:rsid w:val="00173637"/>
    <w:rsid w:val="00180A28"/>
    <w:rsid w:val="00184672"/>
    <w:rsid w:val="00193978"/>
    <w:rsid w:val="001940AF"/>
    <w:rsid w:val="00195BE5"/>
    <w:rsid w:val="00196273"/>
    <w:rsid w:val="001A0262"/>
    <w:rsid w:val="001A0A32"/>
    <w:rsid w:val="001A6746"/>
    <w:rsid w:val="001B402A"/>
    <w:rsid w:val="001B6932"/>
    <w:rsid w:val="001C1C3E"/>
    <w:rsid w:val="001C3CD1"/>
    <w:rsid w:val="001C51A0"/>
    <w:rsid w:val="001C58E1"/>
    <w:rsid w:val="001D09C4"/>
    <w:rsid w:val="001D528C"/>
    <w:rsid w:val="001E1067"/>
    <w:rsid w:val="001E3345"/>
    <w:rsid w:val="001E4459"/>
    <w:rsid w:val="001E6B4A"/>
    <w:rsid w:val="001E70EB"/>
    <w:rsid w:val="001F0744"/>
    <w:rsid w:val="001F205A"/>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6ADE"/>
    <w:rsid w:val="002B7535"/>
    <w:rsid w:val="002B7A19"/>
    <w:rsid w:val="002B7C03"/>
    <w:rsid w:val="002B7E20"/>
    <w:rsid w:val="002C4B55"/>
    <w:rsid w:val="002C552F"/>
    <w:rsid w:val="002C7882"/>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7620"/>
    <w:rsid w:val="00337BA5"/>
    <w:rsid w:val="00340C14"/>
    <w:rsid w:val="00343E59"/>
    <w:rsid w:val="003510A7"/>
    <w:rsid w:val="00351891"/>
    <w:rsid w:val="0035640B"/>
    <w:rsid w:val="00360057"/>
    <w:rsid w:val="003705BC"/>
    <w:rsid w:val="00370881"/>
    <w:rsid w:val="00371173"/>
    <w:rsid w:val="003727D0"/>
    <w:rsid w:val="003742DC"/>
    <w:rsid w:val="00376B5A"/>
    <w:rsid w:val="00380E7C"/>
    <w:rsid w:val="00381F13"/>
    <w:rsid w:val="00385992"/>
    <w:rsid w:val="00393CA3"/>
    <w:rsid w:val="003A04E1"/>
    <w:rsid w:val="003A3568"/>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6A1"/>
    <w:rsid w:val="00413A4E"/>
    <w:rsid w:val="00413AF7"/>
    <w:rsid w:val="00417300"/>
    <w:rsid w:val="00417A15"/>
    <w:rsid w:val="004205F5"/>
    <w:rsid w:val="004239D7"/>
    <w:rsid w:val="00423FE2"/>
    <w:rsid w:val="00424D9F"/>
    <w:rsid w:val="0042510F"/>
    <w:rsid w:val="00431952"/>
    <w:rsid w:val="00432020"/>
    <w:rsid w:val="00433F9F"/>
    <w:rsid w:val="0043552C"/>
    <w:rsid w:val="00435AC3"/>
    <w:rsid w:val="00436CA1"/>
    <w:rsid w:val="004412D2"/>
    <w:rsid w:val="004426F5"/>
    <w:rsid w:val="004442DD"/>
    <w:rsid w:val="004545A1"/>
    <w:rsid w:val="004545C8"/>
    <w:rsid w:val="00455861"/>
    <w:rsid w:val="004631A4"/>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E45A6"/>
    <w:rsid w:val="004F099C"/>
    <w:rsid w:val="004F1230"/>
    <w:rsid w:val="004F39F6"/>
    <w:rsid w:val="004F42CF"/>
    <w:rsid w:val="00502A3B"/>
    <w:rsid w:val="00507D28"/>
    <w:rsid w:val="00513E5B"/>
    <w:rsid w:val="005231C1"/>
    <w:rsid w:val="0052567E"/>
    <w:rsid w:val="00526FE8"/>
    <w:rsid w:val="00531C53"/>
    <w:rsid w:val="005358D3"/>
    <w:rsid w:val="00537192"/>
    <w:rsid w:val="00540961"/>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1E36"/>
    <w:rsid w:val="005F50CA"/>
    <w:rsid w:val="005F5FD8"/>
    <w:rsid w:val="005F641E"/>
    <w:rsid w:val="0060634C"/>
    <w:rsid w:val="00607937"/>
    <w:rsid w:val="00611AFF"/>
    <w:rsid w:val="0061399F"/>
    <w:rsid w:val="00615F65"/>
    <w:rsid w:val="00623D39"/>
    <w:rsid w:val="006375AE"/>
    <w:rsid w:val="00637E4F"/>
    <w:rsid w:val="006402AF"/>
    <w:rsid w:val="006420D4"/>
    <w:rsid w:val="0064464F"/>
    <w:rsid w:val="00647B5F"/>
    <w:rsid w:val="00653DAB"/>
    <w:rsid w:val="006543F0"/>
    <w:rsid w:val="00654ABC"/>
    <w:rsid w:val="00655AF8"/>
    <w:rsid w:val="00655B50"/>
    <w:rsid w:val="00672158"/>
    <w:rsid w:val="00677730"/>
    <w:rsid w:val="006819F0"/>
    <w:rsid w:val="00681E4B"/>
    <w:rsid w:val="006830D3"/>
    <w:rsid w:val="00684F6A"/>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3B17"/>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930"/>
    <w:rsid w:val="007260EC"/>
    <w:rsid w:val="00726865"/>
    <w:rsid w:val="00727E39"/>
    <w:rsid w:val="00727F1A"/>
    <w:rsid w:val="00733A24"/>
    <w:rsid w:val="00737C5B"/>
    <w:rsid w:val="00740407"/>
    <w:rsid w:val="007408B3"/>
    <w:rsid w:val="00741F1A"/>
    <w:rsid w:val="007471A8"/>
    <w:rsid w:val="00751794"/>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854"/>
    <w:rsid w:val="0079288E"/>
    <w:rsid w:val="00796D1B"/>
    <w:rsid w:val="007A5CD7"/>
    <w:rsid w:val="007A72E2"/>
    <w:rsid w:val="007A7723"/>
    <w:rsid w:val="007B1A23"/>
    <w:rsid w:val="007B1C01"/>
    <w:rsid w:val="007B77E8"/>
    <w:rsid w:val="007C54B8"/>
    <w:rsid w:val="007C62BA"/>
    <w:rsid w:val="007C6EE8"/>
    <w:rsid w:val="007C751C"/>
    <w:rsid w:val="007C7C8C"/>
    <w:rsid w:val="007D147A"/>
    <w:rsid w:val="007D3B9A"/>
    <w:rsid w:val="007D4B5C"/>
    <w:rsid w:val="007E00F8"/>
    <w:rsid w:val="007E3079"/>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146BB"/>
    <w:rsid w:val="0082161A"/>
    <w:rsid w:val="0082183B"/>
    <w:rsid w:val="00826CD7"/>
    <w:rsid w:val="008423F0"/>
    <w:rsid w:val="00843357"/>
    <w:rsid w:val="00843DBB"/>
    <w:rsid w:val="008472C0"/>
    <w:rsid w:val="0085158A"/>
    <w:rsid w:val="00852C2C"/>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E567C"/>
    <w:rsid w:val="008E6F9A"/>
    <w:rsid w:val="008F0ABC"/>
    <w:rsid w:val="008F1F2D"/>
    <w:rsid w:val="008F2A57"/>
    <w:rsid w:val="008F583E"/>
    <w:rsid w:val="009002A7"/>
    <w:rsid w:val="00901FA2"/>
    <w:rsid w:val="0090345B"/>
    <w:rsid w:val="009115E9"/>
    <w:rsid w:val="00911FB2"/>
    <w:rsid w:val="009133FE"/>
    <w:rsid w:val="0091559F"/>
    <w:rsid w:val="009174E4"/>
    <w:rsid w:val="00925659"/>
    <w:rsid w:val="00927A52"/>
    <w:rsid w:val="00930466"/>
    <w:rsid w:val="0093664C"/>
    <w:rsid w:val="00943D62"/>
    <w:rsid w:val="00946987"/>
    <w:rsid w:val="00947534"/>
    <w:rsid w:val="00951AF6"/>
    <w:rsid w:val="00954274"/>
    <w:rsid w:val="00954378"/>
    <w:rsid w:val="00960C40"/>
    <w:rsid w:val="00961726"/>
    <w:rsid w:val="00962678"/>
    <w:rsid w:val="00976C79"/>
    <w:rsid w:val="0098116E"/>
    <w:rsid w:val="00983786"/>
    <w:rsid w:val="009872D1"/>
    <w:rsid w:val="00987EDE"/>
    <w:rsid w:val="00991B26"/>
    <w:rsid w:val="00995A22"/>
    <w:rsid w:val="00996B6D"/>
    <w:rsid w:val="009A17DB"/>
    <w:rsid w:val="009B4441"/>
    <w:rsid w:val="009B5ECF"/>
    <w:rsid w:val="009C665A"/>
    <w:rsid w:val="009C6B97"/>
    <w:rsid w:val="009D0FB3"/>
    <w:rsid w:val="009D194F"/>
    <w:rsid w:val="009D53A2"/>
    <w:rsid w:val="009E05FE"/>
    <w:rsid w:val="009E1852"/>
    <w:rsid w:val="009F4388"/>
    <w:rsid w:val="009F5421"/>
    <w:rsid w:val="009F7A50"/>
    <w:rsid w:val="00A01EDB"/>
    <w:rsid w:val="00A04A2C"/>
    <w:rsid w:val="00A12F74"/>
    <w:rsid w:val="00A14CD0"/>
    <w:rsid w:val="00A23CB7"/>
    <w:rsid w:val="00A2474D"/>
    <w:rsid w:val="00A24BBB"/>
    <w:rsid w:val="00A3041F"/>
    <w:rsid w:val="00A31435"/>
    <w:rsid w:val="00A3270F"/>
    <w:rsid w:val="00A35195"/>
    <w:rsid w:val="00A367C0"/>
    <w:rsid w:val="00A37728"/>
    <w:rsid w:val="00A409BA"/>
    <w:rsid w:val="00A42432"/>
    <w:rsid w:val="00A44EBC"/>
    <w:rsid w:val="00A45FCF"/>
    <w:rsid w:val="00A47F48"/>
    <w:rsid w:val="00A60774"/>
    <w:rsid w:val="00A625F5"/>
    <w:rsid w:val="00A706CF"/>
    <w:rsid w:val="00A72F20"/>
    <w:rsid w:val="00A80993"/>
    <w:rsid w:val="00A93D2E"/>
    <w:rsid w:val="00A963FC"/>
    <w:rsid w:val="00AA427B"/>
    <w:rsid w:val="00AA4EBB"/>
    <w:rsid w:val="00AA63A1"/>
    <w:rsid w:val="00AB07F1"/>
    <w:rsid w:val="00AB1899"/>
    <w:rsid w:val="00AB496C"/>
    <w:rsid w:val="00AB7A45"/>
    <w:rsid w:val="00AC6C7C"/>
    <w:rsid w:val="00AD0751"/>
    <w:rsid w:val="00AD6B64"/>
    <w:rsid w:val="00AE5FF5"/>
    <w:rsid w:val="00AE7F0F"/>
    <w:rsid w:val="00B00CB3"/>
    <w:rsid w:val="00B06244"/>
    <w:rsid w:val="00B063D4"/>
    <w:rsid w:val="00B103AE"/>
    <w:rsid w:val="00B10E39"/>
    <w:rsid w:val="00B129FC"/>
    <w:rsid w:val="00B12CC7"/>
    <w:rsid w:val="00B169DF"/>
    <w:rsid w:val="00B200A7"/>
    <w:rsid w:val="00B215BA"/>
    <w:rsid w:val="00B2227F"/>
    <w:rsid w:val="00B25477"/>
    <w:rsid w:val="00B40A55"/>
    <w:rsid w:val="00B41EF3"/>
    <w:rsid w:val="00B41FD1"/>
    <w:rsid w:val="00B4405A"/>
    <w:rsid w:val="00B468BD"/>
    <w:rsid w:val="00B51229"/>
    <w:rsid w:val="00B51681"/>
    <w:rsid w:val="00B5663F"/>
    <w:rsid w:val="00B6059C"/>
    <w:rsid w:val="00B60CD1"/>
    <w:rsid w:val="00B61481"/>
    <w:rsid w:val="00B6165E"/>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1D9"/>
    <w:rsid w:val="00BA1E11"/>
    <w:rsid w:val="00BA3708"/>
    <w:rsid w:val="00BA708D"/>
    <w:rsid w:val="00BB2EDA"/>
    <w:rsid w:val="00BC20B5"/>
    <w:rsid w:val="00BC31B3"/>
    <w:rsid w:val="00BD4062"/>
    <w:rsid w:val="00BE1008"/>
    <w:rsid w:val="00BE1F25"/>
    <w:rsid w:val="00BE33D4"/>
    <w:rsid w:val="00BF4906"/>
    <w:rsid w:val="00BF61A4"/>
    <w:rsid w:val="00BF74CB"/>
    <w:rsid w:val="00C04AE6"/>
    <w:rsid w:val="00C14124"/>
    <w:rsid w:val="00C1670B"/>
    <w:rsid w:val="00C25290"/>
    <w:rsid w:val="00C2619B"/>
    <w:rsid w:val="00C27EC1"/>
    <w:rsid w:val="00C31736"/>
    <w:rsid w:val="00C32EC0"/>
    <w:rsid w:val="00C35070"/>
    <w:rsid w:val="00C371B5"/>
    <w:rsid w:val="00C4222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5CAB"/>
    <w:rsid w:val="00C96087"/>
    <w:rsid w:val="00C96B58"/>
    <w:rsid w:val="00C96C66"/>
    <w:rsid w:val="00CA0366"/>
    <w:rsid w:val="00CA0452"/>
    <w:rsid w:val="00CA2329"/>
    <w:rsid w:val="00CA603B"/>
    <w:rsid w:val="00CB062C"/>
    <w:rsid w:val="00CB3CF1"/>
    <w:rsid w:val="00CB4C04"/>
    <w:rsid w:val="00CB54EB"/>
    <w:rsid w:val="00CB5FEC"/>
    <w:rsid w:val="00CC1C18"/>
    <w:rsid w:val="00CC1C45"/>
    <w:rsid w:val="00CC44AE"/>
    <w:rsid w:val="00CC5DF3"/>
    <w:rsid w:val="00CC7551"/>
    <w:rsid w:val="00CD2EA2"/>
    <w:rsid w:val="00CD425D"/>
    <w:rsid w:val="00CE0B24"/>
    <w:rsid w:val="00CE2C98"/>
    <w:rsid w:val="00CE40A5"/>
    <w:rsid w:val="00CE54BB"/>
    <w:rsid w:val="00CE599B"/>
    <w:rsid w:val="00CE7A64"/>
    <w:rsid w:val="00CF0884"/>
    <w:rsid w:val="00CF2302"/>
    <w:rsid w:val="00CF472C"/>
    <w:rsid w:val="00CF731F"/>
    <w:rsid w:val="00D005C5"/>
    <w:rsid w:val="00D010FE"/>
    <w:rsid w:val="00D02C8B"/>
    <w:rsid w:val="00D10FE5"/>
    <w:rsid w:val="00D20770"/>
    <w:rsid w:val="00D22274"/>
    <w:rsid w:val="00D230FA"/>
    <w:rsid w:val="00D243AE"/>
    <w:rsid w:val="00D30231"/>
    <w:rsid w:val="00D308FA"/>
    <w:rsid w:val="00D3337A"/>
    <w:rsid w:val="00D35086"/>
    <w:rsid w:val="00D353B5"/>
    <w:rsid w:val="00D367DD"/>
    <w:rsid w:val="00D40035"/>
    <w:rsid w:val="00D40FCB"/>
    <w:rsid w:val="00D4286A"/>
    <w:rsid w:val="00D42893"/>
    <w:rsid w:val="00D51305"/>
    <w:rsid w:val="00D6526A"/>
    <w:rsid w:val="00D666DA"/>
    <w:rsid w:val="00D80892"/>
    <w:rsid w:val="00D836A4"/>
    <w:rsid w:val="00D84D83"/>
    <w:rsid w:val="00D86FBB"/>
    <w:rsid w:val="00D925B4"/>
    <w:rsid w:val="00D94524"/>
    <w:rsid w:val="00D969A2"/>
    <w:rsid w:val="00DA5475"/>
    <w:rsid w:val="00DA5CEE"/>
    <w:rsid w:val="00DA7B90"/>
    <w:rsid w:val="00DB00CF"/>
    <w:rsid w:val="00DB27C4"/>
    <w:rsid w:val="00DB3B15"/>
    <w:rsid w:val="00DB6503"/>
    <w:rsid w:val="00DB6736"/>
    <w:rsid w:val="00DC0290"/>
    <w:rsid w:val="00DC1400"/>
    <w:rsid w:val="00DC3C63"/>
    <w:rsid w:val="00DC6FF1"/>
    <w:rsid w:val="00DC7809"/>
    <w:rsid w:val="00DD2341"/>
    <w:rsid w:val="00DD3E9B"/>
    <w:rsid w:val="00DD517A"/>
    <w:rsid w:val="00DD58D7"/>
    <w:rsid w:val="00DE3769"/>
    <w:rsid w:val="00DE4CA8"/>
    <w:rsid w:val="00DE57C4"/>
    <w:rsid w:val="00DE639D"/>
    <w:rsid w:val="00DE77D9"/>
    <w:rsid w:val="00DF1342"/>
    <w:rsid w:val="00DF1CBE"/>
    <w:rsid w:val="00E0056C"/>
    <w:rsid w:val="00E05849"/>
    <w:rsid w:val="00E05EDE"/>
    <w:rsid w:val="00E14ED2"/>
    <w:rsid w:val="00E203F6"/>
    <w:rsid w:val="00E22CE6"/>
    <w:rsid w:val="00E30AF0"/>
    <w:rsid w:val="00E30D4C"/>
    <w:rsid w:val="00E328CB"/>
    <w:rsid w:val="00E33FBC"/>
    <w:rsid w:val="00E34950"/>
    <w:rsid w:val="00E368B6"/>
    <w:rsid w:val="00E4231D"/>
    <w:rsid w:val="00E44457"/>
    <w:rsid w:val="00E44BBB"/>
    <w:rsid w:val="00E502B5"/>
    <w:rsid w:val="00E50780"/>
    <w:rsid w:val="00E5268F"/>
    <w:rsid w:val="00E530C0"/>
    <w:rsid w:val="00E57396"/>
    <w:rsid w:val="00E61745"/>
    <w:rsid w:val="00E61859"/>
    <w:rsid w:val="00E6236E"/>
    <w:rsid w:val="00E645D1"/>
    <w:rsid w:val="00E66762"/>
    <w:rsid w:val="00E73806"/>
    <w:rsid w:val="00E757F1"/>
    <w:rsid w:val="00E80133"/>
    <w:rsid w:val="00E8126B"/>
    <w:rsid w:val="00E834E5"/>
    <w:rsid w:val="00E914D9"/>
    <w:rsid w:val="00E9356D"/>
    <w:rsid w:val="00E953FD"/>
    <w:rsid w:val="00EA1765"/>
    <w:rsid w:val="00EA264B"/>
    <w:rsid w:val="00EA5602"/>
    <w:rsid w:val="00EA79D4"/>
    <w:rsid w:val="00EB118F"/>
    <w:rsid w:val="00EB7978"/>
    <w:rsid w:val="00EC19F6"/>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6949"/>
    <w:rsid w:val="00F17555"/>
    <w:rsid w:val="00F36E01"/>
    <w:rsid w:val="00F37B99"/>
    <w:rsid w:val="00F412C2"/>
    <w:rsid w:val="00F503C6"/>
    <w:rsid w:val="00F51B2F"/>
    <w:rsid w:val="00F54740"/>
    <w:rsid w:val="00F55006"/>
    <w:rsid w:val="00F6194A"/>
    <w:rsid w:val="00F62E1D"/>
    <w:rsid w:val="00F64ED0"/>
    <w:rsid w:val="00F66519"/>
    <w:rsid w:val="00F7154C"/>
    <w:rsid w:val="00F728A6"/>
    <w:rsid w:val="00F765CE"/>
    <w:rsid w:val="00F87A41"/>
    <w:rsid w:val="00F925D1"/>
    <w:rsid w:val="00F97518"/>
    <w:rsid w:val="00FA0360"/>
    <w:rsid w:val="00FA155C"/>
    <w:rsid w:val="00FA1F47"/>
    <w:rsid w:val="00FA2612"/>
    <w:rsid w:val="00FA779C"/>
    <w:rsid w:val="00FB0E04"/>
    <w:rsid w:val="00FB325F"/>
    <w:rsid w:val="00FB3733"/>
    <w:rsid w:val="00FB7769"/>
    <w:rsid w:val="00FC0DDB"/>
    <w:rsid w:val="00FC49EB"/>
    <w:rsid w:val="00FC5739"/>
    <w:rsid w:val="00FD534D"/>
    <w:rsid w:val="00FD6696"/>
    <w:rsid w:val="00FE215D"/>
    <w:rsid w:val="00FE5647"/>
    <w:rsid w:val="00FF3065"/>
    <w:rsid w:val="00FF53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672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ima.a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gr-comm@iima.ac.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Abhiman\BIES\Estimation%20April%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April%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761667034368041E-2"/>
          <c:y val="5.2568697729988054E-2"/>
          <c:w val="0.88096335156221017"/>
          <c:h val="0.73667861409796898"/>
        </c:manualLayout>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Sheet1!$D$26:$D$62</c:f>
              <c:numCache>
                <c:formatCode>mmm\-yy</c:formatCode>
                <c:ptCount val="37"/>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numCache>
            </c:numRef>
          </c:cat>
          <c:val>
            <c:numRef>
              <c:f>Sheet1!$E$26:$E$61</c:f>
              <c:numCache>
                <c:formatCode>0.00</c:formatCode>
                <c:ptCount val="36"/>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numCache>
            </c:numRef>
          </c:val>
          <c:smooth val="0"/>
          <c:extLst>
            <c:ext xmlns:c16="http://schemas.microsoft.com/office/drawing/2014/chart" uri="{C3380CC4-5D6E-409C-BE32-E72D297353CC}">
              <c16:uniqueId val="{00000000-75E3-4267-B50E-C91F3271AC23}"/>
            </c:ext>
          </c:extLst>
        </c:ser>
        <c:ser>
          <c:idx val="2"/>
          <c:order val="1"/>
          <c:spPr>
            <a:ln w="31750">
              <a:solidFill>
                <a:srgbClr val="00B050"/>
              </a:solidFill>
              <a:prstDash val="sysDash"/>
            </a:ln>
          </c:spPr>
          <c:marker>
            <c:symbol val="none"/>
          </c:marker>
          <c:cat>
            <c:numRef>
              <c:f>Sheet1!$D$26:$D$62</c:f>
              <c:numCache>
                <c:formatCode>mmm\-yy</c:formatCode>
                <c:ptCount val="37"/>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75E3-4267-B50E-C91F3271AC23}"/>
            </c:ext>
          </c:extLst>
        </c:ser>
        <c:dLbls>
          <c:showLegendKey val="0"/>
          <c:showVal val="0"/>
          <c:showCatName val="0"/>
          <c:showSerName val="0"/>
          <c:showPercent val="0"/>
          <c:showBubbleSize val="0"/>
        </c:dLbls>
        <c:smooth val="0"/>
        <c:axId val="158289072"/>
        <c:axId val="158282288"/>
      </c:lineChart>
      <c:dateAx>
        <c:axId val="158289072"/>
        <c:scaling>
          <c:orientation val="minMax"/>
        </c:scaling>
        <c:delete val="0"/>
        <c:axPos val="b"/>
        <c:numFmt formatCode="mmm\-yy" sourceLinked="1"/>
        <c:majorTickMark val="out"/>
        <c:minorTickMark val="none"/>
        <c:tickLblPos val="nextTo"/>
        <c:txPr>
          <a:bodyPr rot="-5400000" vert="horz"/>
          <a:lstStyle/>
          <a:p>
            <a:pPr>
              <a:defRPr sz="900">
                <a:solidFill>
                  <a:sysClr val="windowText" lastClr="000000"/>
                </a:solidFill>
              </a:defRPr>
            </a:pPr>
            <a:endParaRPr lang="en-US"/>
          </a:p>
        </c:txPr>
        <c:crossAx val="158282288"/>
        <c:crosses val="autoZero"/>
        <c:auto val="1"/>
        <c:lblOffset val="100"/>
        <c:baseTimeUnit val="months"/>
        <c:majorUnit val="1"/>
        <c:majorTimeUnit val="months"/>
      </c:dateAx>
      <c:valAx>
        <c:axId val="158282288"/>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158289072"/>
        <c:crosses val="autoZero"/>
        <c:crossBetween val="between"/>
        <c:majorUnit val="1"/>
        <c:minorUnit val="0.5"/>
      </c:valAx>
    </c:plotArea>
    <c:plotVisOnly val="1"/>
    <c:dispBlanksAs val="gap"/>
    <c:showDLblsOverMax val="0"/>
  </c:chart>
  <c:spPr>
    <a:ln w="12700">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2"/>
          <c:order val="0"/>
          <c:tx>
            <c:strRef>
              <c:f>Question3!$AH$3</c:f>
              <c:strCache>
                <c:ptCount val="1"/>
                <c:pt idx="0">
                  <c:v>Jan-20</c:v>
                </c:pt>
              </c:strCache>
            </c:strRef>
          </c:tx>
          <c:spPr>
            <a:solidFill>
              <a:srgbClr val="00B050"/>
            </a:solidFill>
          </c:spPr>
          <c:invertIfNegative val="0"/>
          <c:dLbls>
            <c:dLbl>
              <c:idx val="0"/>
              <c:layout>
                <c:manualLayout>
                  <c:x val="-1.42602495543672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ED-4216-8449-9FA0E69BC89E}"/>
                </c:ext>
              </c:extLst>
            </c:dLbl>
            <c:dLbl>
              <c:idx val="2"/>
              <c:layout>
                <c:manualLayout>
                  <c:x val="-7.1301247771836445E-3"/>
                  <c:y val="1.444043321299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AED-4216-8449-9FA0E69BC89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Question3!$AH$4:$AH$9</c:f>
              <c:numCache>
                <c:formatCode>0.0%</c:formatCode>
                <c:ptCount val="6"/>
                <c:pt idx="0">
                  <c:v>0.14530000000000001</c:v>
                </c:pt>
                <c:pt idx="1">
                  <c:v>0.16500000000000001</c:v>
                </c:pt>
                <c:pt idx="2">
                  <c:v>0.22170000000000001</c:v>
                </c:pt>
                <c:pt idx="3">
                  <c:v>0.20200000000000001</c:v>
                </c:pt>
                <c:pt idx="4">
                  <c:v>0.17</c:v>
                </c:pt>
                <c:pt idx="5">
                  <c:v>9.6100000000000005E-2</c:v>
                </c:pt>
              </c:numCache>
            </c:numRef>
          </c:val>
          <c:extLst>
            <c:ext xmlns:c16="http://schemas.microsoft.com/office/drawing/2014/chart" uri="{C3380CC4-5D6E-409C-BE32-E72D297353CC}">
              <c16:uniqueId val="{00000000-4AED-4216-8449-9FA0E69BC89E}"/>
            </c:ext>
          </c:extLst>
        </c:ser>
        <c:ser>
          <c:idx val="3"/>
          <c:order val="1"/>
          <c:tx>
            <c:strRef>
              <c:f>Question3!$AI$3</c:f>
              <c:strCache>
                <c:ptCount val="1"/>
                <c:pt idx="0">
                  <c:v>Feb-20</c:v>
                </c:pt>
              </c:strCache>
            </c:strRef>
          </c:tx>
          <c:invertIfNegative val="0"/>
          <c:dLbls>
            <c:dLbl>
              <c:idx val="2"/>
              <c:layout>
                <c:manualLayout>
                  <c:x val="1.9013666072489603E-2"/>
                  <c:y val="4.50450450450448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AED-4216-8449-9FA0E69BC89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Question3!$AI$4:$AI$9</c:f>
              <c:numCache>
                <c:formatCode>0.0%</c:formatCode>
                <c:ptCount val="6"/>
                <c:pt idx="0">
                  <c:v>0.14280000000000001</c:v>
                </c:pt>
                <c:pt idx="1">
                  <c:v>0.14610000000000001</c:v>
                </c:pt>
                <c:pt idx="2">
                  <c:v>0.22076999999999999</c:v>
                </c:pt>
                <c:pt idx="3">
                  <c:v>0.18509999999999999</c:v>
                </c:pt>
                <c:pt idx="4">
                  <c:v>0.15259</c:v>
                </c:pt>
                <c:pt idx="5">
                  <c:v>0.15259</c:v>
                </c:pt>
              </c:numCache>
            </c:numRef>
          </c:val>
          <c:extLst>
            <c:ext xmlns:c16="http://schemas.microsoft.com/office/drawing/2014/chart" uri="{C3380CC4-5D6E-409C-BE32-E72D297353CC}">
              <c16:uniqueId val="{00000001-4AED-4216-8449-9FA0E69BC89E}"/>
            </c:ext>
          </c:extLst>
        </c:ser>
        <c:ser>
          <c:idx val="4"/>
          <c:order val="2"/>
          <c:tx>
            <c:strRef>
              <c:f>Question3!$AJ$3</c:f>
              <c:strCache>
                <c:ptCount val="1"/>
                <c:pt idx="0">
                  <c:v>Mar-20</c:v>
                </c:pt>
              </c:strCache>
            </c:strRef>
          </c:tx>
          <c:invertIfNegative val="0"/>
          <c:dLbls>
            <c:dLbl>
              <c:idx val="1"/>
              <c:layout>
                <c:manualLayout>
                  <c:x val="1.188354129530595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AED-4216-8449-9FA0E69BC89E}"/>
                </c:ext>
              </c:extLst>
            </c:dLbl>
            <c:dLbl>
              <c:idx val="4"/>
              <c:layout>
                <c:manualLayout>
                  <c:x val="-8.7144962792864121E-17"/>
                  <c:y val="2.2522522522522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AED-4216-8449-9FA0E69BC89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Question3!$AJ$4:$AJ$9</c:f>
              <c:numCache>
                <c:formatCode>0.00%</c:formatCode>
                <c:ptCount val="6"/>
                <c:pt idx="0">
                  <c:v>0.17219999999999999</c:v>
                </c:pt>
                <c:pt idx="1">
                  <c:v>0.1502</c:v>
                </c:pt>
                <c:pt idx="2">
                  <c:v>0.1227</c:v>
                </c:pt>
                <c:pt idx="3">
                  <c:v>0.16850000000000001</c:v>
                </c:pt>
                <c:pt idx="4">
                  <c:v>0.14649999999999999</c:v>
                </c:pt>
                <c:pt idx="5">
                  <c:v>0.2399</c:v>
                </c:pt>
              </c:numCache>
            </c:numRef>
          </c:val>
          <c:extLst>
            <c:ext xmlns:c16="http://schemas.microsoft.com/office/drawing/2014/chart" uri="{C3380CC4-5D6E-409C-BE32-E72D297353CC}">
              <c16:uniqueId val="{00000002-4AED-4216-8449-9FA0E69BC89E}"/>
            </c:ext>
          </c:extLst>
        </c:ser>
        <c:ser>
          <c:idx val="0"/>
          <c:order val="3"/>
          <c:tx>
            <c:strRef>
              <c:f>Question3!$AK$3</c:f>
              <c:strCache>
                <c:ptCount val="1"/>
                <c:pt idx="0">
                  <c:v>Apr-20</c:v>
                </c:pt>
              </c:strCache>
            </c:strRef>
          </c:tx>
          <c:spPr>
            <a:solidFill>
              <a:srgbClr val="FF0000"/>
            </a:solidFill>
          </c:spPr>
          <c:invertIfNegative val="0"/>
          <c:dLbls>
            <c:dLbl>
              <c:idx val="0"/>
              <c:layout>
                <c:manualLayout>
                  <c:x val="7.1301247771836003E-3"/>
                  <c:y val="1.3513513513513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AED-4216-8449-9FA0E69BC89E}"/>
                </c:ext>
              </c:extLst>
            </c:dLbl>
            <c:dLbl>
              <c:idx val="1"/>
              <c:layout>
                <c:manualLayout>
                  <c:x val="2.6143790849673158E-2"/>
                  <c:y val="1.8018018018018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ED-4216-8449-9FA0E69BC89E}"/>
                </c:ext>
              </c:extLst>
            </c:dLbl>
            <c:dLbl>
              <c:idx val="2"/>
              <c:layout>
                <c:manualLayout>
                  <c:x val="1.42602495543672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ED-4216-8449-9FA0E69BC89E}"/>
                </c:ext>
              </c:extLst>
            </c:dLbl>
            <c:dLbl>
              <c:idx val="3"/>
              <c:layout>
                <c:manualLayout>
                  <c:x val="1.1883541295306001E-2"/>
                  <c:y val="2.252252252252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ED-4216-8449-9FA0E69BC89E}"/>
                </c:ext>
              </c:extLst>
            </c:dLbl>
            <c:dLbl>
              <c:idx val="4"/>
              <c:layout>
                <c:manualLayout>
                  <c:x val="7.1301247771836003E-3"/>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ED-4216-8449-9FA0E69BC89E}"/>
                </c:ext>
              </c:extLst>
            </c:dLbl>
            <c:dLbl>
              <c:idx val="5"/>
              <c:layout>
                <c:manualLayout>
                  <c:x val="7.1301247771834268E-3"/>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ED-4216-8449-9FA0E69BC89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Question3!$AK$4:$AK$9</c:f>
              <c:numCache>
                <c:formatCode>0.0%</c:formatCode>
                <c:ptCount val="6"/>
                <c:pt idx="0">
                  <c:v>0.15709999999999999</c:v>
                </c:pt>
                <c:pt idx="1">
                  <c:v>0.1429</c:v>
                </c:pt>
                <c:pt idx="2">
                  <c:v>0.1333</c:v>
                </c:pt>
                <c:pt idx="3">
                  <c:v>0.16189999999999999</c:v>
                </c:pt>
                <c:pt idx="4">
                  <c:v>0.1857</c:v>
                </c:pt>
                <c:pt idx="5">
                  <c:v>0.219</c:v>
                </c:pt>
              </c:numCache>
            </c:numRef>
          </c:val>
          <c:extLst>
            <c:ext xmlns:c16="http://schemas.microsoft.com/office/drawing/2014/chart" uri="{C3380CC4-5D6E-409C-BE32-E72D297353CC}">
              <c16:uniqueId val="{00000003-4AED-4216-8449-9FA0E69BC89E}"/>
            </c:ext>
          </c:extLst>
        </c:ser>
        <c:dLbls>
          <c:showLegendKey val="0"/>
          <c:showVal val="0"/>
          <c:showCatName val="0"/>
          <c:showSerName val="0"/>
          <c:showPercent val="0"/>
          <c:showBubbleSize val="0"/>
        </c:dLbls>
        <c:gapWidth val="150"/>
        <c:axId val="158287800"/>
        <c:axId val="505507944"/>
      </c:barChart>
      <c:catAx>
        <c:axId val="158287800"/>
        <c:scaling>
          <c:orientation val="minMax"/>
        </c:scaling>
        <c:delete val="0"/>
        <c:axPos val="b"/>
        <c:numFmt formatCode="General" sourceLinked="0"/>
        <c:majorTickMark val="out"/>
        <c:minorTickMark val="none"/>
        <c:tickLblPos val="nextTo"/>
        <c:txPr>
          <a:bodyPr rot="0" vert="horz"/>
          <a:lstStyle/>
          <a:p>
            <a:pPr>
              <a:defRPr/>
            </a:pPr>
            <a:endParaRPr lang="en-US"/>
          </a:p>
        </c:txPr>
        <c:crossAx val="505507944"/>
        <c:crosses val="autoZero"/>
        <c:auto val="1"/>
        <c:lblAlgn val="ctr"/>
        <c:lblOffset val="100"/>
        <c:noMultiLvlLbl val="0"/>
      </c:catAx>
      <c:valAx>
        <c:axId val="505507944"/>
        <c:scaling>
          <c:orientation val="minMax"/>
        </c:scaling>
        <c:delete val="0"/>
        <c:axPos val="l"/>
        <c:majorGridlines/>
        <c:numFmt formatCode="0%" sourceLinked="0"/>
        <c:majorTickMark val="out"/>
        <c:minorTickMark val="none"/>
        <c:tickLblPos val="nextTo"/>
        <c:crossAx val="158287800"/>
        <c:crosses val="autoZero"/>
        <c:crossBetween val="between"/>
      </c:valAx>
      <c:spPr>
        <a:ln>
          <a:solidFill>
            <a:srgbClr val="002060"/>
          </a:solidFill>
        </a:ln>
      </c:spPr>
    </c:plotArea>
    <c:legend>
      <c:legendPos val="r"/>
      <c:layout>
        <c:manualLayout>
          <c:xMode val="edge"/>
          <c:yMode val="edge"/>
          <c:x val="0.71782507706017251"/>
          <c:y val="3.5477968354730854E-2"/>
          <c:w val="0.11368578927634046"/>
          <c:h val="0.2337870556878064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0.00744</cdr:x>
      <cdr:y>0.22939</cdr:y>
    </cdr:from>
    <cdr:to>
      <cdr:x>0.05579</cdr:x>
      <cdr:y>0.53405</cdr:y>
    </cdr:to>
    <cdr:sp macro="" textlink="">
      <cdr:nvSpPr>
        <cdr:cNvPr id="2" name="Text Box 2"/>
        <cdr:cNvSpPr txBox="1">
          <a:spLocks xmlns:a="http://schemas.openxmlformats.org/drawingml/2006/main" noChangeArrowheads="1"/>
        </cdr:cNvSpPr>
      </cdr:nvSpPr>
      <cdr:spPr bwMode="auto">
        <a:xfrm xmlns:a="http://schemas.openxmlformats.org/drawingml/2006/main">
          <a:off x="38100" y="609600"/>
          <a:ext cx="247650" cy="8096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vert270" wrap="square" lIns="91440" tIns="45720" rIns="91440" bIns="45720" anchor="t" anchorCtr="0">
          <a:noAutofit/>
        </a:bodyPr>
        <a:lstStyle xmlns:a="http://schemas.openxmlformats.org/drawingml/2006/main"/>
        <a:p xmlns:a="http://schemas.openxmlformats.org/drawingml/2006/main">
          <a:pPr>
            <a:lnSpc>
              <a:spcPct val="115000"/>
            </a:lnSpc>
            <a:spcAft>
              <a:spcPts val="1000"/>
            </a:spcAft>
          </a:pPr>
          <a:r>
            <a:rPr lang="en-IN" sz="900">
              <a:effectLst/>
              <a:latin typeface="Times New Roman" panose="02020603050405020304" pitchFamily="18" charset="0"/>
              <a:ea typeface="Calibri" panose="020F0502020204030204" pitchFamily="34" charset="0"/>
              <a:cs typeface="Mangal"/>
            </a:rPr>
            <a:t>Inflation (%)</a:t>
          </a:r>
          <a:endParaRPr lang="en-IN" sz="1100">
            <a:effectLst/>
            <a:latin typeface="Calibri" panose="020F0502020204030204" pitchFamily="34" charset="0"/>
            <a:ea typeface="Calibri" panose="020F0502020204030204" pitchFamily="34" charset="0"/>
            <a:cs typeface="Mang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F5A7-BA4B-430A-BF94-59A580AC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6</cp:revision>
  <cp:lastPrinted>2020-04-03T12:53:00Z</cp:lastPrinted>
  <dcterms:created xsi:type="dcterms:W3CDTF">2020-06-02T08:55:00Z</dcterms:created>
  <dcterms:modified xsi:type="dcterms:W3CDTF">2020-06-02T09:31:00Z</dcterms:modified>
</cp:coreProperties>
</file>