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B6F2A" w14:textId="77777777" w:rsidR="003A0A55" w:rsidRDefault="00B57A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00E87AAF" wp14:editId="71B73349">
            <wp:extent cx="6019800" cy="89598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895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A45F3A" w14:textId="777BF577" w:rsidR="003A0A55" w:rsidRDefault="00B57A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40" w:lineRule="auto"/>
        <w:ind w:left="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PGP Final Placement 20</w:t>
      </w:r>
      <w:r w:rsidR="008E4DCF">
        <w:rPr>
          <w:rFonts w:ascii="Times New Roman" w:eastAsia="Times New Roman" w:hAnsi="Times New Roman" w:cs="Times New Roman"/>
          <w:b/>
          <w:color w:val="000000"/>
        </w:rPr>
        <w:t>20</w:t>
      </w:r>
      <w:r>
        <w:rPr>
          <w:rFonts w:ascii="Times New Roman" w:eastAsia="Times New Roman" w:hAnsi="Times New Roman" w:cs="Times New Roman"/>
          <w:b/>
          <w:color w:val="000000"/>
        </w:rPr>
        <w:t>-202</w:t>
      </w:r>
      <w:r w:rsidR="008E4DCF">
        <w:rPr>
          <w:rFonts w:ascii="Times New Roman" w:eastAsia="Times New Roman" w:hAnsi="Times New Roman" w:cs="Times New Roman"/>
          <w:b/>
          <w:color w:val="000000"/>
        </w:rPr>
        <w:t>1</w:t>
      </w:r>
      <w:r>
        <w:rPr>
          <w:rFonts w:ascii="Times New Roman" w:eastAsia="Times New Roman" w:hAnsi="Times New Roman" w:cs="Times New Roman"/>
          <w:b/>
          <w:color w:val="000000"/>
        </w:rPr>
        <w:t xml:space="preserve"> (Cluster 1) </w:t>
      </w:r>
    </w:p>
    <w:p w14:paraId="3CE5D3B1" w14:textId="77777777" w:rsidR="003A0A55" w:rsidRDefault="00B57A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21"/>
        <w:rPr>
          <w:rFonts w:ascii="Times New Roman" w:eastAsia="Times New Roman" w:hAnsi="Times New Roman" w:cs="Times New Roman"/>
          <w:b/>
          <w:color w:val="002060"/>
        </w:rPr>
      </w:pPr>
      <w:r>
        <w:rPr>
          <w:rFonts w:ascii="Times New Roman" w:eastAsia="Times New Roman" w:hAnsi="Times New Roman" w:cs="Times New Roman"/>
          <w:b/>
          <w:color w:val="002060"/>
        </w:rPr>
        <w:t xml:space="preserve">IIM Ahmedabad </w:t>
      </w:r>
    </w:p>
    <w:p w14:paraId="57F6F9CD" w14:textId="461B1068" w:rsidR="003A0A55" w:rsidRDefault="008E4D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ind w:left="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</w:t>
      </w:r>
      <w:r w:rsidRPr="008E4DCF">
        <w:rPr>
          <w:rFonts w:ascii="Times New Roman" w:eastAsia="Times New Roman" w:hAnsi="Times New Roman" w:cs="Times New Roman"/>
          <w:b/>
          <w:color w:val="000000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color w:val="000000"/>
        </w:rPr>
        <w:t xml:space="preserve"> March</w:t>
      </w:r>
      <w:r w:rsidR="00B57AB0">
        <w:rPr>
          <w:rFonts w:ascii="Times New Roman" w:eastAsia="Times New Roman" w:hAnsi="Times New Roman" w:cs="Times New Roman"/>
          <w:b/>
          <w:color w:val="000000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</w:rPr>
        <w:t>1</w:t>
      </w:r>
    </w:p>
    <w:p w14:paraId="38DA243C" w14:textId="77777777" w:rsidR="003A0A55" w:rsidRDefault="00B57A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Ahmedabad </w:t>
      </w:r>
    </w:p>
    <w:p w14:paraId="23ACE7D1" w14:textId="048AC671" w:rsidR="003A0A55" w:rsidRDefault="00B57A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3" w:line="343" w:lineRule="auto"/>
        <w:ind w:left="15" w:right="368" w:hanging="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first cluster of the Final Placement process for the PGP class of 202</w:t>
      </w:r>
      <w:r w:rsidR="00774D5F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was held today at the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Indian  Institute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of Management, Ahmedabad. The firms that participated in Cluster 1 comprised four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cohorts  –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investment banking &amp; markets, management consulting, advisory consulting and private equity, venture capital &amp; asset management. </w:t>
      </w:r>
    </w:p>
    <w:p w14:paraId="3B46047C" w14:textId="0878F22A" w:rsidR="003A0A55" w:rsidRDefault="00B57A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341" w:lineRule="auto"/>
        <w:ind w:left="20" w:right="368" w:hanging="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list of Cluster 1 recruiters included regular partners such as Accenture Strategy, </w:t>
      </w:r>
      <w:r w:rsidR="00774D5F">
        <w:rPr>
          <w:rFonts w:ascii="Times New Roman" w:eastAsia="Times New Roman" w:hAnsi="Times New Roman" w:cs="Times New Roman"/>
          <w:color w:val="000000"/>
        </w:rPr>
        <w:t xml:space="preserve">American Express, </w:t>
      </w:r>
      <w:proofErr w:type="spellStart"/>
      <w:r w:rsidR="00785D1E">
        <w:rPr>
          <w:rFonts w:ascii="Times New Roman" w:eastAsia="Times New Roman" w:hAnsi="Times New Roman" w:cs="Times New Roman"/>
          <w:color w:val="000000"/>
        </w:rPr>
        <w:t>Analysys</w:t>
      </w:r>
      <w:proofErr w:type="spellEnd"/>
      <w:r w:rsidR="00785D1E">
        <w:rPr>
          <w:rFonts w:ascii="Times New Roman" w:eastAsia="Times New Roman" w:hAnsi="Times New Roman" w:cs="Times New Roman"/>
          <w:color w:val="000000"/>
        </w:rPr>
        <w:t xml:space="preserve"> Mason, </w:t>
      </w:r>
      <w:r w:rsidR="00774D5F" w:rsidRPr="00774D5F">
        <w:rPr>
          <w:rFonts w:ascii="Times New Roman" w:eastAsia="Times New Roman" w:hAnsi="Times New Roman" w:cs="Times New Roman"/>
          <w:color w:val="000000"/>
        </w:rPr>
        <w:t>Arthur D. Little</w:t>
      </w:r>
      <w:r w:rsidR="00774D5F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Avendus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Bain &amp; Co.,</w:t>
      </w:r>
      <w:r w:rsidR="00774D5F">
        <w:rPr>
          <w:rFonts w:ascii="Times New Roman" w:eastAsia="Times New Roman" w:hAnsi="Times New Roman" w:cs="Times New Roman"/>
          <w:color w:val="000000"/>
        </w:rPr>
        <w:t xml:space="preserve"> Boston Consulting Group</w:t>
      </w:r>
      <w:r w:rsidR="00774D5F">
        <w:rPr>
          <w:rFonts w:ascii="Times New Roman" w:eastAsia="Times New Roman" w:hAnsi="Times New Roman" w:cs="Times New Roman"/>
          <w:color w:val="000000"/>
        </w:rPr>
        <w:t>,</w:t>
      </w:r>
      <w:r w:rsidR="00774D5F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Citi, Credit Suisse, </w:t>
      </w:r>
      <w:r w:rsidR="00774D5F">
        <w:rPr>
          <w:rFonts w:ascii="Times New Roman" w:eastAsia="Times New Roman" w:hAnsi="Times New Roman" w:cs="Times New Roman"/>
          <w:color w:val="000000"/>
        </w:rPr>
        <w:t xml:space="preserve">GEP Consulting, </w:t>
      </w:r>
      <w:r>
        <w:rPr>
          <w:rFonts w:ascii="Times New Roman" w:eastAsia="Times New Roman" w:hAnsi="Times New Roman" w:cs="Times New Roman"/>
          <w:color w:val="000000"/>
        </w:rPr>
        <w:t xml:space="preserve">Goldman Sachs, </w:t>
      </w:r>
      <w:r w:rsidR="00785D1E">
        <w:rPr>
          <w:rFonts w:ascii="Times New Roman" w:eastAsia="Times New Roman" w:hAnsi="Times New Roman" w:cs="Times New Roman"/>
          <w:color w:val="000000"/>
        </w:rPr>
        <w:t xml:space="preserve">IBM, </w:t>
      </w:r>
      <w:r>
        <w:rPr>
          <w:rFonts w:ascii="Times New Roman" w:eastAsia="Times New Roman" w:hAnsi="Times New Roman" w:cs="Times New Roman"/>
          <w:color w:val="000000"/>
        </w:rPr>
        <w:t>HSBC</w:t>
      </w:r>
      <w:r w:rsidR="00774D5F">
        <w:rPr>
          <w:rFonts w:ascii="Times New Roman" w:eastAsia="Times New Roman" w:hAnsi="Times New Roman" w:cs="Times New Roman"/>
          <w:color w:val="000000"/>
        </w:rPr>
        <w:t>, Kearney</w:t>
      </w:r>
      <w:r w:rsidR="00774D5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KPMG, </w:t>
      </w:r>
      <w:r w:rsidR="00785D1E">
        <w:rPr>
          <w:rFonts w:ascii="Times New Roman" w:eastAsia="Times New Roman" w:hAnsi="Times New Roman" w:cs="Times New Roman"/>
          <w:color w:val="000000"/>
        </w:rPr>
        <w:t xml:space="preserve">Mastercard, </w:t>
      </w:r>
      <w:r>
        <w:rPr>
          <w:rFonts w:ascii="Times New Roman" w:eastAsia="Times New Roman" w:hAnsi="Times New Roman" w:cs="Times New Roman"/>
          <w:color w:val="000000"/>
        </w:rPr>
        <w:t>McKinsey &amp; Company, Monitor Deloitte, Nomura,</w:t>
      </w:r>
      <w:r w:rsidR="00774D5F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Oliver Wyman</w:t>
      </w:r>
      <w:r w:rsidR="00774D5F">
        <w:rPr>
          <w:rFonts w:ascii="Times New Roman" w:eastAsia="Times New Roman" w:hAnsi="Times New Roman" w:cs="Times New Roman"/>
          <w:color w:val="000000"/>
        </w:rPr>
        <w:t>, Praxis, PWC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774D5F">
        <w:rPr>
          <w:rFonts w:ascii="Times New Roman" w:eastAsia="Times New Roman" w:hAnsi="Times New Roman" w:cs="Times New Roman"/>
          <w:color w:val="000000"/>
        </w:rPr>
        <w:t xml:space="preserve">&amp; The Xander </w:t>
      </w:r>
      <w:proofErr w:type="gramStart"/>
      <w:r w:rsidR="00774D5F">
        <w:rPr>
          <w:rFonts w:ascii="Times New Roman" w:eastAsia="Times New Roman" w:hAnsi="Times New Roman" w:cs="Times New Roman"/>
          <w:color w:val="000000"/>
        </w:rPr>
        <w:t>Group</w:t>
      </w:r>
      <w:proofErr w:type="gramEnd"/>
      <w:r w:rsidR="00774D5F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among others.</w:t>
      </w:r>
    </w:p>
    <w:p w14:paraId="0826CE6F" w14:textId="0D353A4F" w:rsidR="003A0A55" w:rsidRDefault="00B57A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344" w:lineRule="auto"/>
        <w:ind w:left="17" w:right="368" w:hanging="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IIMA has always had an extremely rich mix of firms from diverse sectors. Consulting firms,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offering  management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consulting roles across geographies (including</w:t>
      </w:r>
      <w:r w:rsidR="00774D5F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Middle East) continue to  hire in large numbers. This reinforces the strength of the general management program at IIMA.  </w:t>
      </w:r>
      <w:r w:rsidR="00DD4E69">
        <w:rPr>
          <w:rFonts w:ascii="Times New Roman" w:eastAsia="Times New Roman" w:hAnsi="Times New Roman" w:cs="Times New Roman"/>
          <w:color w:val="000000"/>
        </w:rPr>
        <w:t xml:space="preserve">Boston Consulting </w:t>
      </w:r>
      <w:r w:rsidR="00DD4E69" w:rsidRPr="00774D5F">
        <w:rPr>
          <w:rFonts w:ascii="Times New Roman" w:eastAsia="Times New Roman" w:hAnsi="Times New Roman" w:cs="Times New Roman"/>
          <w:color w:val="000000"/>
        </w:rPr>
        <w:t>Group</w:t>
      </w:r>
      <w:r w:rsidR="00DD4E6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made the highest number of offers (including pre-placement offers) </w:t>
      </w:r>
      <w:r w:rsidR="00DD4E69">
        <w:rPr>
          <w:rFonts w:ascii="Times New Roman" w:eastAsia="Times New Roman" w:hAnsi="Times New Roman" w:cs="Times New Roman"/>
          <w:color w:val="000000"/>
        </w:rPr>
        <w:t>32,</w:t>
      </w:r>
      <w:r>
        <w:rPr>
          <w:rFonts w:ascii="Times New Roman" w:eastAsia="Times New Roman" w:hAnsi="Times New Roman" w:cs="Times New Roman"/>
          <w:color w:val="000000"/>
        </w:rPr>
        <w:t xml:space="preserve"> closely followed by </w:t>
      </w:r>
      <w:r w:rsidR="00DD4E69">
        <w:rPr>
          <w:rFonts w:ascii="Times New Roman" w:eastAsia="Times New Roman" w:hAnsi="Times New Roman" w:cs="Times New Roman"/>
          <w:color w:val="000000"/>
        </w:rPr>
        <w:t xml:space="preserve">McKinsey </w:t>
      </w:r>
      <w:r w:rsidRPr="00774D5F">
        <w:rPr>
          <w:rFonts w:ascii="Times New Roman" w:eastAsia="Times New Roman" w:hAnsi="Times New Roman" w:cs="Times New Roman"/>
          <w:color w:val="000000"/>
        </w:rPr>
        <w:t>-</w:t>
      </w:r>
      <w:r w:rsidR="00DD4E69">
        <w:rPr>
          <w:rFonts w:ascii="Times New Roman" w:eastAsia="Times New Roman" w:hAnsi="Times New Roman" w:cs="Times New Roman"/>
          <w:color w:val="000000"/>
        </w:rPr>
        <w:t xml:space="preserve"> 30</w:t>
      </w:r>
      <w:r>
        <w:rPr>
          <w:rFonts w:ascii="Times New Roman" w:eastAsia="Times New Roman" w:hAnsi="Times New Roman" w:cs="Times New Roman"/>
          <w:color w:val="000000"/>
        </w:rPr>
        <w:t xml:space="preserve"> in Cluster 1.  </w:t>
      </w:r>
    </w:p>
    <w:p w14:paraId="53CA3371" w14:textId="7188A6E8" w:rsidR="003A0A55" w:rsidRDefault="00B57A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344" w:lineRule="auto"/>
        <w:ind w:left="19" w:right="368" w:hanging="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Finance firms offered (including pre-placement offers) roles in investment banking, private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equity,  venture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capital and capital markets across functions and geographies (including Singapore). </w:t>
      </w:r>
      <w:proofErr w:type="gramStart"/>
      <w:r w:rsidR="00DD4E69" w:rsidRPr="00DD4E69">
        <w:rPr>
          <w:rFonts w:ascii="Times New Roman" w:eastAsia="Times New Roman" w:hAnsi="Times New Roman" w:cs="Times New Roman"/>
          <w:color w:val="000000"/>
        </w:rPr>
        <w:t>Nomura</w:t>
      </w:r>
      <w:r w:rsidRPr="00DD4E69">
        <w:rPr>
          <w:rFonts w:ascii="Times New Roman" w:eastAsia="Times New Roman" w:hAnsi="Times New Roman" w:cs="Times New Roman"/>
          <w:color w:val="000000"/>
        </w:rPr>
        <w:t xml:space="preserve">  made</w:t>
      </w:r>
      <w:proofErr w:type="gramEnd"/>
      <w:r w:rsidRPr="00DD4E69">
        <w:rPr>
          <w:rFonts w:ascii="Times New Roman" w:eastAsia="Times New Roman" w:hAnsi="Times New Roman" w:cs="Times New Roman"/>
          <w:color w:val="000000"/>
        </w:rPr>
        <w:t xml:space="preserve"> the highest number of offers (including pre-placement offers) – </w:t>
      </w:r>
      <w:r w:rsidR="00DD4E69" w:rsidRPr="00DD4E69">
        <w:rPr>
          <w:rFonts w:ascii="Times New Roman" w:eastAsia="Times New Roman" w:hAnsi="Times New Roman" w:cs="Times New Roman"/>
          <w:color w:val="000000"/>
        </w:rPr>
        <w:t>7</w:t>
      </w:r>
      <w:r w:rsidRPr="00DD4E69">
        <w:rPr>
          <w:rFonts w:ascii="Times New Roman" w:eastAsia="Times New Roman" w:hAnsi="Times New Roman" w:cs="Times New Roman"/>
          <w:color w:val="000000"/>
        </w:rPr>
        <w:t>, closely followed by</w:t>
      </w:r>
      <w:r w:rsidR="00DD4E69" w:rsidRPr="00DD4E69">
        <w:rPr>
          <w:rFonts w:ascii="Times New Roman" w:eastAsia="Times New Roman" w:hAnsi="Times New Roman" w:cs="Times New Roman"/>
          <w:color w:val="000000"/>
        </w:rPr>
        <w:t xml:space="preserve"> Goldman Sachs and Bank of America</w:t>
      </w:r>
      <w:r w:rsidRPr="00DD4E69">
        <w:rPr>
          <w:rFonts w:ascii="Times New Roman" w:eastAsia="Times New Roman" w:hAnsi="Times New Roman" w:cs="Times New Roman"/>
          <w:color w:val="000000"/>
        </w:rPr>
        <w:t xml:space="preserve"> </w:t>
      </w:r>
      <w:r w:rsidR="00DD4E69" w:rsidRPr="00DD4E69">
        <w:rPr>
          <w:rFonts w:ascii="Times New Roman" w:eastAsia="Times New Roman" w:hAnsi="Times New Roman" w:cs="Times New Roman"/>
          <w:color w:val="000000"/>
        </w:rPr>
        <w:t>–</w:t>
      </w:r>
      <w:r w:rsidRPr="00DD4E69">
        <w:rPr>
          <w:rFonts w:ascii="Times New Roman" w:eastAsia="Times New Roman" w:hAnsi="Times New Roman" w:cs="Times New Roman"/>
          <w:color w:val="000000"/>
        </w:rPr>
        <w:t xml:space="preserve"> </w:t>
      </w:r>
      <w:r w:rsidR="00DD4E69" w:rsidRPr="00DD4E69">
        <w:rPr>
          <w:rFonts w:ascii="Times New Roman" w:eastAsia="Times New Roman" w:hAnsi="Times New Roman" w:cs="Times New Roman"/>
          <w:color w:val="000000"/>
        </w:rPr>
        <w:t>Merrill Lynch - 5</w:t>
      </w:r>
      <w:r w:rsidRPr="00DD4E69">
        <w:rPr>
          <w:rFonts w:ascii="Times New Roman" w:eastAsia="Times New Roman" w:hAnsi="Times New Roman" w:cs="Times New Roman"/>
          <w:color w:val="000000"/>
        </w:rPr>
        <w:t xml:space="preserve"> in Cluster 1.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F245BF5" w14:textId="3B4D775E" w:rsidR="003A0A55" w:rsidRDefault="00B57A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ind w:left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second cluster will be held on </w:t>
      </w:r>
      <w:r w:rsidR="008E4DCF">
        <w:rPr>
          <w:rFonts w:ascii="Times New Roman" w:eastAsia="Times New Roman" w:hAnsi="Times New Roman" w:cs="Times New Roman"/>
          <w:color w:val="000000"/>
        </w:rPr>
        <w:t>March 5</w:t>
      </w:r>
      <w:r>
        <w:rPr>
          <w:rFonts w:ascii="Times New Roman" w:eastAsia="Times New Roman" w:hAnsi="Times New Roman" w:cs="Times New Roman"/>
          <w:color w:val="000000"/>
        </w:rPr>
        <w:t>, 202</w:t>
      </w:r>
      <w:r w:rsidR="008E4DCF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</w:p>
    <w:sectPr w:rsidR="003A0A55">
      <w:pgSz w:w="11880" w:h="16840"/>
      <w:pgMar w:top="1439" w:right="993" w:bottom="3389" w:left="142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0szS2tDAyMTQytjBV0lEKTi0uzszPAykwqgUArWXlFiwAAAA="/>
  </w:docVars>
  <w:rsids>
    <w:rsidRoot w:val="003A0A55"/>
    <w:rsid w:val="003A0A55"/>
    <w:rsid w:val="00411B33"/>
    <w:rsid w:val="00774D5F"/>
    <w:rsid w:val="00785D1E"/>
    <w:rsid w:val="008E4DCF"/>
    <w:rsid w:val="00B01860"/>
    <w:rsid w:val="00B57AB0"/>
    <w:rsid w:val="00D95DE8"/>
    <w:rsid w:val="00DD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5C1DD"/>
  <w15:docId w15:val="{AAFA68B4-B2A3-4041-82B6-3B600745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Nihir Gulati</cp:lastModifiedBy>
  <cp:revision>5</cp:revision>
  <dcterms:created xsi:type="dcterms:W3CDTF">2021-03-02T14:56:00Z</dcterms:created>
  <dcterms:modified xsi:type="dcterms:W3CDTF">2021-03-02T16:17:00Z</dcterms:modified>
</cp:coreProperties>
</file>