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F560" w14:textId="77777777" w:rsidR="00793929" w:rsidRDefault="0079392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6AAD3F0" w14:textId="77777777" w:rsidR="004D0729" w:rsidRDefault="004D0729" w:rsidP="004D072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04A07432" wp14:editId="1A966467">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729192EC" w14:textId="77777777" w:rsidR="004D0729" w:rsidRDefault="004D0729" w:rsidP="004D072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55BE67C9" w14:textId="77777777" w:rsidR="004D0729" w:rsidRPr="00F5494B" w:rsidRDefault="004D0729" w:rsidP="004D0729">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4BFBC1B" w14:textId="77777777" w:rsidR="00793929" w:rsidRDefault="0079392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44DF0F65" w:rsidR="00360057" w:rsidRPr="00FD534D" w:rsidRDefault="00925659" w:rsidP="00C32EC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4D0729">
        <w:rPr>
          <w:rFonts w:ascii="Times New Roman" w:eastAsia="Times New Roman" w:hAnsi="Times New Roman" w:cs="Times New Roman"/>
          <w:b/>
          <w:color w:val="222222"/>
          <w:sz w:val="28"/>
          <w:szCs w:val="28"/>
          <w:shd w:val="clear" w:color="auto" w:fill="FFFFFF"/>
          <w:lang w:val="en-GB" w:eastAsia="en-GB"/>
        </w:rPr>
        <w:t>)</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B32121">
        <w:rPr>
          <w:rFonts w:ascii="Times New Roman" w:eastAsia="Times New Roman" w:hAnsi="Times New Roman" w:cs="Times New Roman"/>
          <w:b/>
          <w:color w:val="222222"/>
          <w:sz w:val="28"/>
          <w:szCs w:val="28"/>
          <w:shd w:val="clear" w:color="auto" w:fill="FFFFFF"/>
          <w:lang w:val="en-GB" w:eastAsia="en-GB"/>
        </w:rPr>
        <w:t>June</w:t>
      </w:r>
      <w:r w:rsidR="00C6596E">
        <w:rPr>
          <w:rFonts w:ascii="Times New Roman" w:eastAsia="Times New Roman" w:hAnsi="Times New Roman" w:cs="Times New Roman"/>
          <w:b/>
          <w:color w:val="222222"/>
          <w:sz w:val="28"/>
          <w:szCs w:val="28"/>
          <w:shd w:val="clear" w:color="auto" w:fill="FFFFFF"/>
          <w:lang w:val="en-GB" w:eastAsia="en-GB"/>
        </w:rPr>
        <w:t xml:space="preserve"> 2020</w:t>
      </w:r>
    </w:p>
    <w:p w14:paraId="1D3B2346" w14:textId="005BE4EE" w:rsidR="00FC49EB" w:rsidRPr="00B51681" w:rsidRDefault="00FC49EB" w:rsidP="00C32EC0">
      <w:pPr>
        <w:spacing w:after="0" w:line="240" w:lineRule="auto"/>
        <w:jc w:val="both"/>
        <w:rPr>
          <w:rFonts w:ascii="Times New Roman" w:hAnsi="Times New Roman" w:cs="Times New Roman"/>
        </w:rPr>
      </w:pPr>
    </w:p>
    <w:p w14:paraId="51CAF148" w14:textId="37F829BB" w:rsidR="004D0729" w:rsidRPr="00DF5E29" w:rsidRDefault="004D0729" w:rsidP="004D0729">
      <w:pPr>
        <w:spacing w:after="160" w:line="256" w:lineRule="auto"/>
        <w:jc w:val="both"/>
        <w:rPr>
          <w:rFonts w:ascii="Times New Roman" w:eastAsia="Times New Roman" w:hAnsi="Times New Roman" w:cs="Times New Roman"/>
          <w:b/>
        </w:rPr>
      </w:pPr>
      <w:r>
        <w:rPr>
          <w:rFonts w:ascii="Times New Roman" w:hAnsi="Times New Roman" w:cs="Times New Roman"/>
          <w:b/>
        </w:rPr>
        <w:t>August</w:t>
      </w:r>
      <w:r w:rsidRPr="00CE6B69">
        <w:rPr>
          <w:rFonts w:ascii="Times New Roman" w:eastAsia="Times New Roman" w:hAnsi="Times New Roman" w:cs="Times New Roman"/>
          <w:b/>
        </w:rPr>
        <w:t xml:space="preserve"> </w:t>
      </w:r>
      <w:r>
        <w:rPr>
          <w:rFonts w:ascii="Times New Roman" w:eastAsia="Times New Roman" w:hAnsi="Times New Roman" w:cs="Times New Roman"/>
          <w:b/>
        </w:rPr>
        <w:t>10</w:t>
      </w:r>
      <w:r w:rsidRPr="00CE6B69">
        <w:rPr>
          <w:rFonts w:ascii="Times New Roman" w:eastAsia="Times New Roman" w:hAnsi="Times New Roman" w:cs="Times New Roman"/>
          <w:b/>
        </w:rPr>
        <w:t>, 2020 | Ahmedabad</w:t>
      </w:r>
    </w:p>
    <w:p w14:paraId="04A100B5" w14:textId="77777777" w:rsidR="004D0729" w:rsidRPr="004D0729" w:rsidRDefault="004D0729" w:rsidP="004D0729">
      <w:pPr>
        <w:spacing w:after="0" w:line="240" w:lineRule="auto"/>
        <w:jc w:val="both"/>
        <w:rPr>
          <w:rFonts w:ascii="Times New Roman" w:hAnsi="Times New Roman" w:cs="Times New Roman"/>
          <w:bCs/>
          <w:lang w:val="en-US"/>
        </w:rPr>
      </w:pPr>
    </w:p>
    <w:p w14:paraId="6984C0C6" w14:textId="2BC6CC86" w:rsidR="004D0729" w:rsidRPr="004D0729" w:rsidRDefault="004D0729" w:rsidP="004D0729">
      <w:pPr>
        <w:spacing w:after="0" w:line="240" w:lineRule="auto"/>
        <w:jc w:val="both"/>
        <w:rPr>
          <w:rFonts w:ascii="Times New Roman" w:hAnsi="Times New Roman" w:cs="Times New Roman"/>
          <w:bCs/>
          <w:lang w:val="en-US"/>
        </w:rPr>
      </w:pPr>
      <w:r w:rsidRPr="004D0729">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w:t>
      </w:r>
      <w:bookmarkStart w:id="0" w:name="_GoBack"/>
      <w:bookmarkEnd w:id="0"/>
      <w:r w:rsidRPr="004D0729">
        <w:rPr>
          <w:rFonts w:ascii="Times New Roman" w:hAnsi="Times New Roman" w:cs="Times New Roman"/>
          <w:bCs/>
          <w:lang w:val="en-US"/>
        </w:rPr>
        <w:t xml:space="preserve">that it goes straight to businesses - the price setters - rather than to consumers or households, to understand their expectations of the price level changes. One major advantage of BIES is that one can get a probabilistic assessment of inflation expectations and thus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w:t>
      </w:r>
    </w:p>
    <w:p w14:paraId="24E45355" w14:textId="77777777" w:rsidR="004D0729" w:rsidRPr="004D0729" w:rsidRDefault="004D0729" w:rsidP="004D0729">
      <w:pPr>
        <w:spacing w:after="0" w:line="240" w:lineRule="auto"/>
        <w:jc w:val="both"/>
        <w:rPr>
          <w:rFonts w:ascii="Times New Roman" w:hAnsi="Times New Roman" w:cs="Times New Roman"/>
          <w:bCs/>
          <w:lang w:val="en-US"/>
        </w:rPr>
      </w:pPr>
    </w:p>
    <w:p w14:paraId="2374BA92" w14:textId="665DB0D4" w:rsidR="004D0729" w:rsidRPr="004D0729" w:rsidRDefault="004D0729" w:rsidP="004D0729">
      <w:pPr>
        <w:spacing w:after="0" w:line="240" w:lineRule="auto"/>
        <w:rPr>
          <w:rFonts w:ascii="Times New Roman" w:hAnsi="Times New Roman" w:cs="Times New Roman"/>
          <w:bCs/>
          <w:lang w:val="en-US"/>
        </w:rPr>
      </w:pPr>
      <w:r w:rsidRPr="004D0729">
        <w:rPr>
          <w:rFonts w:ascii="Times New Roman" w:hAnsi="Times New Roman" w:cs="Times New Roman"/>
          <w:bCs/>
          <w:lang w:val="en-US"/>
        </w:rPr>
        <w:t>Companies are selected primarily from the manufacturing sector. The “BIES - June 2020” is the 37th round of the Survey. These results are based on the responses of around 1200 companies.</w:t>
      </w:r>
    </w:p>
    <w:p w14:paraId="65AE4472" w14:textId="77777777" w:rsidR="004D0729" w:rsidRDefault="004D0729" w:rsidP="00C32EC0">
      <w:pPr>
        <w:spacing w:after="0" w:line="240" w:lineRule="auto"/>
        <w:rPr>
          <w:rFonts w:ascii="Times New Roman" w:hAnsi="Times New Roman" w:cs="Times New Roman"/>
          <w:b/>
        </w:rPr>
      </w:pPr>
    </w:p>
    <w:p w14:paraId="354A3479" w14:textId="50263AE5" w:rsidR="001D09C4" w:rsidRDefault="00961726" w:rsidP="00C32EC0">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C32EC0">
      <w:pPr>
        <w:spacing w:after="0" w:line="240" w:lineRule="auto"/>
        <w:rPr>
          <w:rFonts w:ascii="Times New Roman" w:hAnsi="Times New Roman" w:cs="Times New Roman"/>
          <w:b/>
        </w:rPr>
      </w:pPr>
    </w:p>
    <w:p w14:paraId="306CF0B5" w14:textId="4B014C67" w:rsidR="00435AC3" w:rsidRPr="00EB118F" w:rsidRDefault="00435AC3" w:rsidP="00EB1D74">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business inflation expectation</w:t>
      </w:r>
      <w:r w:rsidR="00954378">
        <w:rPr>
          <w:rFonts w:ascii="Times New Roman" w:hAnsi="Times New Roman" w:cs="Times New Roman"/>
          <w:bCs/>
        </w:rPr>
        <w:t>s</w:t>
      </w:r>
      <w:r w:rsidR="003268A4">
        <w:rPr>
          <w:rFonts w:ascii="Times New Roman" w:hAnsi="Times New Roman" w:cs="Times New Roman"/>
          <w:bCs/>
        </w:rPr>
        <w:t xml:space="preserve"> in </w:t>
      </w:r>
      <w:r w:rsidR="00FB0111">
        <w:rPr>
          <w:rFonts w:ascii="Times New Roman" w:hAnsi="Times New Roman" w:cs="Times New Roman"/>
          <w:bCs/>
        </w:rPr>
        <w:t>June</w:t>
      </w:r>
      <w:r w:rsidR="003268A4">
        <w:rPr>
          <w:rFonts w:ascii="Times New Roman" w:hAnsi="Times New Roman" w:cs="Times New Roman"/>
          <w:bCs/>
        </w:rPr>
        <w:t xml:space="preserve"> 2020</w:t>
      </w:r>
      <w:r w:rsidRPr="008D6D83">
        <w:rPr>
          <w:rFonts w:ascii="Times New Roman" w:hAnsi="Times New Roman" w:cs="Times New Roman"/>
          <w:bCs/>
        </w:rPr>
        <w:t xml:space="preserve">,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ha</w:t>
      </w:r>
      <w:r w:rsidR="00BA11D9">
        <w:rPr>
          <w:rFonts w:ascii="Times New Roman" w:hAnsi="Times New Roman" w:cs="Times New Roman"/>
          <w:bCs/>
        </w:rPr>
        <w:t>ve</w:t>
      </w:r>
      <w:r>
        <w:rPr>
          <w:rFonts w:ascii="Times New Roman" w:hAnsi="Times New Roman" w:cs="Times New Roman"/>
          <w:bCs/>
        </w:rPr>
        <w:t xml:space="preserve"> </w:t>
      </w:r>
      <w:r w:rsidR="00E914D9">
        <w:rPr>
          <w:rFonts w:ascii="Times New Roman" w:hAnsi="Times New Roman" w:cs="Times New Roman"/>
          <w:bCs/>
        </w:rPr>
        <w:t xml:space="preserve">declined </w:t>
      </w:r>
      <w:r w:rsidR="00DB3B95">
        <w:rPr>
          <w:rFonts w:ascii="Times New Roman" w:hAnsi="Times New Roman" w:cs="Times New Roman"/>
          <w:bCs/>
        </w:rPr>
        <w:t xml:space="preserve">marginally </w:t>
      </w:r>
      <w:r w:rsidR="00E914D9">
        <w:rPr>
          <w:rFonts w:ascii="Times New Roman" w:hAnsi="Times New Roman" w:cs="Times New Roman"/>
          <w:bCs/>
        </w:rPr>
        <w:t xml:space="preserve">by </w:t>
      </w:r>
      <w:r w:rsidR="00DB3B95">
        <w:rPr>
          <w:rFonts w:ascii="Times New Roman" w:hAnsi="Times New Roman" w:cs="Times New Roman"/>
          <w:bCs/>
        </w:rPr>
        <w:t>1</w:t>
      </w:r>
      <w:r w:rsidR="00FB0111">
        <w:rPr>
          <w:rFonts w:ascii="Times New Roman" w:hAnsi="Times New Roman" w:cs="Times New Roman"/>
          <w:bCs/>
        </w:rPr>
        <w:t>2</w:t>
      </w:r>
      <w:r w:rsidR="00E914D9">
        <w:rPr>
          <w:rFonts w:ascii="Times New Roman" w:hAnsi="Times New Roman" w:cs="Times New Roman"/>
          <w:bCs/>
        </w:rPr>
        <w:t xml:space="preserve"> basis points to </w:t>
      </w:r>
      <w:r w:rsidR="00DB3B95">
        <w:rPr>
          <w:rFonts w:ascii="Times New Roman" w:hAnsi="Times New Roman" w:cs="Times New Roman"/>
          <w:bCs/>
        </w:rPr>
        <w:t>4.</w:t>
      </w:r>
      <w:r w:rsidR="00FB0111">
        <w:rPr>
          <w:rFonts w:ascii="Times New Roman" w:hAnsi="Times New Roman" w:cs="Times New Roman"/>
          <w:bCs/>
        </w:rPr>
        <w:t>1</w:t>
      </w:r>
      <w:r w:rsidR="00DB3B95">
        <w:rPr>
          <w:rFonts w:ascii="Times New Roman" w:hAnsi="Times New Roman" w:cs="Times New Roman"/>
          <w:bCs/>
        </w:rPr>
        <w:t xml:space="preserve">2% </w:t>
      </w:r>
      <w:r w:rsidR="00E914D9">
        <w:rPr>
          <w:rFonts w:ascii="Times New Roman" w:hAnsi="Times New Roman" w:cs="Times New Roman"/>
          <w:bCs/>
        </w:rPr>
        <w:t xml:space="preserve">from </w:t>
      </w:r>
      <w:r w:rsidR="00DB3B95">
        <w:rPr>
          <w:rFonts w:ascii="Times New Roman" w:hAnsi="Times New Roman" w:cs="Times New Roman"/>
          <w:bCs/>
        </w:rPr>
        <w:t>4.</w:t>
      </w:r>
      <w:r w:rsidR="00FB0111">
        <w:rPr>
          <w:rFonts w:ascii="Times New Roman" w:hAnsi="Times New Roman" w:cs="Times New Roman"/>
          <w:bCs/>
        </w:rPr>
        <w:t>24</w:t>
      </w:r>
      <w:r w:rsidR="00DB3B95">
        <w:rPr>
          <w:rFonts w:ascii="Times New Roman" w:hAnsi="Times New Roman" w:cs="Times New Roman"/>
          <w:bCs/>
        </w:rPr>
        <w:t xml:space="preserve">% </w:t>
      </w:r>
      <w:r w:rsidR="00472BB9">
        <w:rPr>
          <w:rFonts w:ascii="Times New Roman" w:hAnsi="Times New Roman" w:cs="Times New Roman"/>
          <w:bCs/>
        </w:rPr>
        <w:t xml:space="preserve">reported </w:t>
      </w:r>
      <w:r w:rsidR="002E0B96">
        <w:rPr>
          <w:rFonts w:ascii="Times New Roman" w:hAnsi="Times New Roman" w:cs="Times New Roman"/>
          <w:bCs/>
        </w:rPr>
        <w:t xml:space="preserve">in </w:t>
      </w:r>
      <w:r w:rsidR="00FB0111">
        <w:rPr>
          <w:rFonts w:ascii="Times New Roman" w:hAnsi="Times New Roman" w:cs="Times New Roman"/>
          <w:bCs/>
        </w:rPr>
        <w:t>May</w:t>
      </w:r>
      <w:r w:rsidR="002E0B96">
        <w:rPr>
          <w:rFonts w:ascii="Times New Roman" w:hAnsi="Times New Roman" w:cs="Times New Roman"/>
          <w:bCs/>
        </w:rPr>
        <w:t xml:space="preserve"> 2020</w:t>
      </w:r>
      <w:r w:rsidR="000F4528">
        <w:rPr>
          <w:rFonts w:ascii="Times New Roman" w:hAnsi="Times New Roman" w:cs="Times New Roman"/>
          <w:bCs/>
        </w:rPr>
        <w:t>.</w:t>
      </w:r>
      <w:r w:rsidR="00637E4F">
        <w:rPr>
          <w:rFonts w:ascii="Times New Roman" w:hAnsi="Times New Roman" w:cs="Times New Roman"/>
          <w:bCs/>
        </w:rPr>
        <w:t xml:space="preserve"> </w:t>
      </w:r>
      <w:r w:rsidR="00E914D9">
        <w:rPr>
          <w:rFonts w:ascii="Times New Roman" w:hAnsi="Times New Roman" w:cs="Times New Roman"/>
          <w:bCs/>
        </w:rPr>
        <w:t>However</w:t>
      </w:r>
      <w:r w:rsidR="00C95CAB">
        <w:rPr>
          <w:rFonts w:ascii="Times New Roman" w:hAnsi="Times New Roman" w:cs="Times New Roman"/>
          <w:bCs/>
        </w:rPr>
        <w:t xml:space="preserve">, </w:t>
      </w:r>
      <w:r w:rsidR="00EB1D74">
        <w:rPr>
          <w:rFonts w:ascii="Times New Roman" w:hAnsi="Times New Roman" w:cs="Times New Roman"/>
          <w:bCs/>
        </w:rPr>
        <w:t>they continue to</w:t>
      </w:r>
      <w:r w:rsidR="00C95CAB">
        <w:rPr>
          <w:rFonts w:ascii="Times New Roman" w:hAnsi="Times New Roman" w:cs="Times New Roman"/>
          <w:bCs/>
        </w:rPr>
        <w:t xml:space="preserve"> remain over 4% for </w:t>
      </w:r>
      <w:r w:rsidR="00FB0111">
        <w:rPr>
          <w:rFonts w:ascii="Times New Roman" w:hAnsi="Times New Roman" w:cs="Times New Roman"/>
          <w:bCs/>
        </w:rPr>
        <w:t>four</w:t>
      </w:r>
      <w:r w:rsidR="00C95CAB">
        <w:rPr>
          <w:rFonts w:ascii="Times New Roman" w:hAnsi="Times New Roman" w:cs="Times New Roman"/>
          <w:bCs/>
        </w:rPr>
        <w:t xml:space="preserve"> consecutive months.</w:t>
      </w:r>
      <w:r w:rsidR="00507D28">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C32EC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6292F5B9" w:rsidR="00435AC3" w:rsidRPr="000F5617" w:rsidRDefault="00435AC3" w:rsidP="00C32EC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954378">
        <w:rPr>
          <w:rFonts w:ascii="Times New Roman" w:hAnsi="Times New Roman" w:cs="Times New Roman"/>
          <w:bCs/>
        </w:rPr>
        <w:t>s</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w:t>
      </w:r>
      <w:r w:rsidR="00E80495">
        <w:rPr>
          <w:rFonts w:ascii="Times New Roman" w:hAnsi="Times New Roman" w:cs="Times New Roman"/>
          <w:bCs/>
        </w:rPr>
        <w:t xml:space="preserve">marginally increased to 2.1% from </w:t>
      </w:r>
      <w:r w:rsidR="008E567C">
        <w:rPr>
          <w:rFonts w:ascii="Times New Roman" w:hAnsi="Times New Roman" w:cs="Times New Roman"/>
          <w:bCs/>
        </w:rPr>
        <w:t>2.</w:t>
      </w:r>
      <w:r w:rsidR="00E914D9">
        <w:rPr>
          <w:rFonts w:ascii="Times New Roman" w:hAnsi="Times New Roman" w:cs="Times New Roman"/>
          <w:bCs/>
        </w:rPr>
        <w:t>0</w:t>
      </w:r>
      <w:r w:rsidR="008E567C">
        <w:rPr>
          <w:rFonts w:ascii="Times New Roman" w:hAnsi="Times New Roman" w:cs="Times New Roman"/>
          <w:bCs/>
        </w:rPr>
        <w:t xml:space="preserve">% </w:t>
      </w:r>
      <w:r w:rsidR="00E80495">
        <w:rPr>
          <w:rFonts w:ascii="Times New Roman" w:hAnsi="Times New Roman" w:cs="Times New Roman"/>
          <w:bCs/>
        </w:rPr>
        <w:t>May</w:t>
      </w:r>
      <w:r w:rsidR="00092DB4">
        <w:rPr>
          <w:rFonts w:ascii="Times New Roman" w:hAnsi="Times New Roman" w:cs="Times New Roman"/>
          <w:bCs/>
        </w:rPr>
        <w:t xml:space="preserve"> 2020</w:t>
      </w:r>
      <w:r w:rsidRPr="00FC49EB">
        <w:rPr>
          <w:rFonts w:ascii="Times New Roman" w:hAnsi="Times New Roman" w:cs="Times New Roman"/>
          <w:bCs/>
        </w:rPr>
        <w:t>.</w:t>
      </w:r>
    </w:p>
    <w:p w14:paraId="0DF0BC20" w14:textId="77777777" w:rsidR="000F5617" w:rsidRDefault="000F5617" w:rsidP="00C32EC0">
      <w:pPr>
        <w:spacing w:after="0" w:line="240" w:lineRule="auto"/>
        <w:jc w:val="center"/>
        <w:rPr>
          <w:rFonts w:ascii="Times New Roman" w:hAnsi="Times New Roman" w:cs="Times New Roman"/>
          <w:b/>
        </w:rPr>
      </w:pPr>
    </w:p>
    <w:p w14:paraId="2BC81099" w14:textId="6D0AC1E4" w:rsidR="001D09C4" w:rsidRDefault="001D09C4" w:rsidP="00C32EC0">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50BD4854" w14:textId="77777777" w:rsidR="00E914D9" w:rsidRDefault="00E914D9" w:rsidP="00C32EC0">
      <w:pPr>
        <w:spacing w:after="0" w:line="240" w:lineRule="auto"/>
        <w:jc w:val="center"/>
        <w:rPr>
          <w:rFonts w:ascii="Times New Roman" w:hAnsi="Times New Roman" w:cs="Times New Roman"/>
          <w:b/>
        </w:rPr>
      </w:pPr>
    </w:p>
    <w:p w14:paraId="1FC857FB" w14:textId="7BEC812F" w:rsidR="006E4700" w:rsidRDefault="00D00336" w:rsidP="00C32EC0">
      <w:pPr>
        <w:spacing w:after="0" w:line="240" w:lineRule="auto"/>
        <w:jc w:val="center"/>
        <w:rPr>
          <w:noProof/>
          <w:lang w:eastAsia="en-IN"/>
        </w:rPr>
      </w:pPr>
      <w:r>
        <w:rPr>
          <w:noProof/>
          <w:lang w:eastAsia="en-IN"/>
        </w:rPr>
        <w:drawing>
          <wp:inline distT="0" distB="0" distL="0" distR="0" wp14:anchorId="3B24E761" wp14:editId="10DF802C">
            <wp:extent cx="5162550" cy="23336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22C21" w:rsidRPr="00C22C21">
        <w:rPr>
          <w:noProof/>
          <w:lang w:eastAsia="en-IN"/>
        </w:rPr>
        <w:t xml:space="preserve"> </w:t>
      </w:r>
    </w:p>
    <w:p w14:paraId="28C1E8DE" w14:textId="447B3B4E" w:rsidR="00D00336" w:rsidRDefault="00D00336" w:rsidP="00C32EC0">
      <w:pPr>
        <w:spacing w:after="0" w:line="240" w:lineRule="auto"/>
        <w:jc w:val="center"/>
        <w:rPr>
          <w:noProof/>
          <w:lang w:eastAsia="en-IN"/>
        </w:rPr>
      </w:pPr>
    </w:p>
    <w:p w14:paraId="32E564A0" w14:textId="5586D1BC" w:rsidR="00AA63A1" w:rsidRDefault="00961726" w:rsidP="00C32EC0">
      <w:pPr>
        <w:spacing w:after="0" w:line="240" w:lineRule="auto"/>
        <w:rPr>
          <w:rFonts w:ascii="Times New Roman" w:hAnsi="Times New Roman" w:cs="Times New Roman"/>
          <w:b/>
          <w:bCs/>
        </w:rPr>
      </w:pPr>
      <w:r>
        <w:rPr>
          <w:rFonts w:ascii="Times New Roman" w:hAnsi="Times New Roman" w:cs="Times New Roman"/>
          <w:b/>
          <w:bCs/>
        </w:rPr>
        <w:lastRenderedPageBreak/>
        <w:t xml:space="preserve">B. </w:t>
      </w:r>
      <w:r w:rsidR="00AA63A1" w:rsidRPr="004C6586">
        <w:rPr>
          <w:rFonts w:ascii="Times New Roman" w:hAnsi="Times New Roman" w:cs="Times New Roman"/>
          <w:b/>
          <w:bCs/>
        </w:rPr>
        <w:t>Costs</w:t>
      </w:r>
    </w:p>
    <w:p w14:paraId="586084EB" w14:textId="77777777" w:rsidR="007D3B9A" w:rsidRDefault="007D3B9A" w:rsidP="00C32EC0">
      <w:pPr>
        <w:spacing w:after="0" w:line="240" w:lineRule="auto"/>
        <w:rPr>
          <w:rFonts w:ascii="Times New Roman" w:hAnsi="Times New Roman" w:cs="Times New Roman"/>
          <w:b/>
          <w:bCs/>
        </w:rPr>
      </w:pPr>
    </w:p>
    <w:p w14:paraId="5F54173D" w14:textId="163EA503" w:rsidR="00CC1C45" w:rsidRDefault="005517F3" w:rsidP="00C32EC0">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A74867">
        <w:rPr>
          <w:rFonts w:ascii="Times New Roman" w:hAnsi="Times New Roman" w:cs="Times New Roman"/>
        </w:rPr>
        <w:t xml:space="preserve">some early </w:t>
      </w:r>
      <w:r w:rsidR="00320D86" w:rsidRPr="00320D86">
        <w:rPr>
          <w:rFonts w:ascii="Times New Roman" w:hAnsi="Times New Roman" w:cs="Times New Roman"/>
        </w:rPr>
        <w:t xml:space="preserve">signs of </w:t>
      </w:r>
      <w:r w:rsidR="00A74867">
        <w:rPr>
          <w:rFonts w:ascii="Times New Roman" w:hAnsi="Times New Roman" w:cs="Times New Roman"/>
        </w:rPr>
        <w:t xml:space="preserve">moderation of </w:t>
      </w:r>
      <w:r w:rsidR="00320D86" w:rsidRPr="00320D86">
        <w:rPr>
          <w:rFonts w:ascii="Times New Roman" w:hAnsi="Times New Roman" w:cs="Times New Roman"/>
        </w:rPr>
        <w:t>cost pressures</w:t>
      </w:r>
      <w:r w:rsidR="00DB27C4">
        <w:rPr>
          <w:rFonts w:ascii="Times New Roman" w:hAnsi="Times New Roman" w:cs="Times New Roman"/>
        </w:rPr>
        <w:t>.</w:t>
      </w:r>
      <w:r w:rsidR="00320D86" w:rsidRPr="00320D86">
        <w:rPr>
          <w:rFonts w:ascii="Times New Roman" w:hAnsi="Times New Roman" w:cs="Times New Roman"/>
        </w:rPr>
        <w:t xml:space="preserve"> </w:t>
      </w:r>
    </w:p>
    <w:p w14:paraId="0C976AB1" w14:textId="77777777" w:rsidR="00CC1C45" w:rsidRDefault="00CC1C45" w:rsidP="00C32EC0">
      <w:pPr>
        <w:pStyle w:val="ListParagraph"/>
        <w:spacing w:after="0" w:line="240" w:lineRule="auto"/>
        <w:jc w:val="both"/>
        <w:rPr>
          <w:rFonts w:ascii="Times New Roman" w:hAnsi="Times New Roman" w:cs="Times New Roman"/>
        </w:rPr>
      </w:pPr>
    </w:p>
    <w:p w14:paraId="25CB0336" w14:textId="32947161" w:rsidR="009872D1" w:rsidRPr="00F901EF" w:rsidRDefault="00E80495" w:rsidP="002D3AFA">
      <w:pPr>
        <w:pStyle w:val="ListParagraph"/>
        <w:numPr>
          <w:ilvl w:val="0"/>
          <w:numId w:val="10"/>
        </w:numPr>
        <w:spacing w:after="0" w:line="240" w:lineRule="auto"/>
        <w:jc w:val="both"/>
        <w:rPr>
          <w:rFonts w:ascii="Times New Roman" w:hAnsi="Times New Roman" w:cs="Times New Roman"/>
        </w:rPr>
      </w:pPr>
      <w:r w:rsidRPr="00F901EF">
        <w:rPr>
          <w:rFonts w:ascii="Times New Roman" w:hAnsi="Times New Roman" w:cs="Times New Roman"/>
        </w:rPr>
        <w:t xml:space="preserve">In the sample, percentage of firms expecting significant (over 6%) cost increase has been gradually declining. However, </w:t>
      </w:r>
      <w:r w:rsidR="00796AC9">
        <w:rPr>
          <w:rFonts w:ascii="Times New Roman" w:hAnsi="Times New Roman" w:cs="Times New Roman"/>
        </w:rPr>
        <w:t xml:space="preserve">percentage of </w:t>
      </w:r>
      <w:r w:rsidRPr="00F901EF">
        <w:rPr>
          <w:rFonts w:ascii="Times New Roman" w:hAnsi="Times New Roman" w:cs="Times New Roman"/>
        </w:rPr>
        <w:t xml:space="preserve">firms reporting moderate (in the range of 3% to 6%) cost increase has sharply increased - from 16% in May 2020 to 22% in June 2020. </w:t>
      </w:r>
      <w:r w:rsidR="00F901EF" w:rsidRPr="00F901EF">
        <w:rPr>
          <w:rFonts w:ascii="Times New Roman" w:hAnsi="Times New Roman" w:cs="Times New Roman"/>
        </w:rPr>
        <w:t xml:space="preserve">As a result, 58% of the firms now believe that the current cost increase is 3.1% and above as compared to the same time last year – up from </w:t>
      </w:r>
      <w:r w:rsidRPr="00F901EF">
        <w:rPr>
          <w:rFonts w:ascii="Times New Roman" w:hAnsi="Times New Roman" w:cs="Times New Roman"/>
        </w:rPr>
        <w:t xml:space="preserve">53% </w:t>
      </w:r>
      <w:r w:rsidR="00F901EF">
        <w:rPr>
          <w:rFonts w:ascii="Times New Roman" w:hAnsi="Times New Roman" w:cs="Times New Roman"/>
        </w:rPr>
        <w:t xml:space="preserve">reported in May 2020 </w:t>
      </w:r>
      <w:r w:rsidR="009B4441" w:rsidRPr="00F901EF">
        <w:rPr>
          <w:rFonts w:ascii="Times New Roman" w:hAnsi="Times New Roman" w:cs="Times New Roman"/>
        </w:rPr>
        <w:t xml:space="preserve">(Chart </w:t>
      </w:r>
      <w:r w:rsidR="002B7C03" w:rsidRPr="00F901EF">
        <w:rPr>
          <w:rFonts w:ascii="Times New Roman" w:hAnsi="Times New Roman" w:cs="Times New Roman"/>
        </w:rPr>
        <w:t>2</w:t>
      </w:r>
      <w:r w:rsidR="00320D86" w:rsidRPr="00F901EF">
        <w:rPr>
          <w:rFonts w:ascii="Times New Roman" w:hAnsi="Times New Roman" w:cs="Times New Roman"/>
        </w:rPr>
        <w:t>)</w:t>
      </w:r>
      <w:r w:rsidR="00435AC3" w:rsidRPr="00F901EF">
        <w:rPr>
          <w:rFonts w:ascii="Times New Roman" w:hAnsi="Times New Roman" w:cs="Times New Roman"/>
        </w:rPr>
        <w:t>.</w:t>
      </w:r>
    </w:p>
    <w:p w14:paraId="7CF4A145" w14:textId="77777777" w:rsidR="00F503C6" w:rsidRDefault="00F503C6" w:rsidP="00C32EC0">
      <w:pPr>
        <w:pStyle w:val="ListParagraph"/>
        <w:spacing w:after="0" w:line="240" w:lineRule="auto"/>
        <w:jc w:val="both"/>
        <w:rPr>
          <w:rFonts w:ascii="Times New Roman" w:hAnsi="Times New Roman" w:cs="Times New Roman"/>
        </w:rPr>
      </w:pPr>
    </w:p>
    <w:p w14:paraId="4A09BD89" w14:textId="3818510D" w:rsidR="00AA63A1" w:rsidRDefault="00AA63A1" w:rsidP="00C32EC0">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97518">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17EA4062" w14:textId="49D6B83E" w:rsidR="00A31435" w:rsidRDefault="00A31435" w:rsidP="00C32EC0">
      <w:pPr>
        <w:spacing w:after="0" w:line="240" w:lineRule="auto"/>
        <w:jc w:val="center"/>
        <w:rPr>
          <w:rFonts w:ascii="Times New Roman" w:hAnsi="Times New Roman" w:cs="Times New Roman"/>
          <w:b/>
          <w:bCs/>
          <w:lang w:val="en-US"/>
        </w:rPr>
      </w:pPr>
    </w:p>
    <w:p w14:paraId="4D66F086" w14:textId="041CE9F1" w:rsidR="00A31435" w:rsidRDefault="00894320" w:rsidP="00C32EC0">
      <w:pPr>
        <w:spacing w:after="0" w:line="240" w:lineRule="auto"/>
        <w:jc w:val="center"/>
        <w:rPr>
          <w:noProof/>
          <w:lang w:eastAsia="en-IN"/>
        </w:rPr>
      </w:pPr>
      <w:r>
        <w:rPr>
          <w:noProof/>
          <w:lang w:eastAsia="en-IN"/>
        </w:rPr>
        <w:drawing>
          <wp:inline distT="0" distB="0" distL="0" distR="0" wp14:anchorId="6447822A" wp14:editId="12BCC1B8">
            <wp:extent cx="5133975" cy="22669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C7D381" w14:textId="7713AAD6" w:rsidR="00894320" w:rsidRDefault="00894320" w:rsidP="00C32EC0">
      <w:pPr>
        <w:spacing w:after="0" w:line="240" w:lineRule="auto"/>
        <w:jc w:val="center"/>
        <w:rPr>
          <w:noProof/>
          <w:lang w:eastAsia="en-IN"/>
        </w:rPr>
      </w:pPr>
    </w:p>
    <w:p w14:paraId="10F89C7D" w14:textId="77777777" w:rsidR="00C22C21" w:rsidRDefault="00C22C21" w:rsidP="00C22C21">
      <w:pPr>
        <w:spacing w:after="0" w:line="240" w:lineRule="auto"/>
        <w:jc w:val="both"/>
        <w:rPr>
          <w:rFonts w:ascii="Times New Roman" w:hAnsi="Times New Roman" w:cs="Times New Roman"/>
          <w:b/>
        </w:rPr>
      </w:pPr>
      <w:r>
        <w:rPr>
          <w:rFonts w:ascii="Times New Roman" w:hAnsi="Times New Roman" w:cs="Times New Roman"/>
          <w:b/>
        </w:rPr>
        <w:t>C. Sales Levels</w:t>
      </w:r>
    </w:p>
    <w:p w14:paraId="2C9812A5" w14:textId="77777777" w:rsidR="00C22C21" w:rsidRPr="002E5927" w:rsidRDefault="00C22C21" w:rsidP="00C22C21">
      <w:pPr>
        <w:spacing w:after="0" w:line="240" w:lineRule="auto"/>
        <w:jc w:val="both"/>
        <w:rPr>
          <w:rFonts w:ascii="Times New Roman" w:hAnsi="Times New Roman" w:cs="Times New Roman"/>
          <w:b/>
        </w:rPr>
      </w:pPr>
    </w:p>
    <w:p w14:paraId="6110165C" w14:textId="33CC53C3" w:rsidR="00C22C21" w:rsidRPr="003A3568" w:rsidRDefault="00C22C21" w:rsidP="00C22C21">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Over </w:t>
      </w:r>
      <w:r w:rsidR="007914B6">
        <w:rPr>
          <w:rFonts w:ascii="Times New Roman" w:hAnsi="Times New Roman" w:cs="Times New Roman"/>
        </w:rPr>
        <w:t>7</w:t>
      </w:r>
      <w:r w:rsidR="007F7EB5">
        <w:rPr>
          <w:rFonts w:ascii="Times New Roman" w:hAnsi="Times New Roman" w:cs="Times New Roman"/>
        </w:rPr>
        <w:t>1</w:t>
      </w:r>
      <w:r w:rsidR="007914B6">
        <w:rPr>
          <w:rFonts w:ascii="Times New Roman" w:hAnsi="Times New Roman" w:cs="Times New Roman"/>
        </w:rPr>
        <w:t xml:space="preserve">% of the firms </w:t>
      </w:r>
      <w:r>
        <w:rPr>
          <w:rFonts w:ascii="Times New Roman" w:hAnsi="Times New Roman" w:cs="Times New Roman"/>
        </w:rPr>
        <w:t xml:space="preserve">in </w:t>
      </w:r>
      <w:r w:rsidR="007F7EB5">
        <w:rPr>
          <w:rFonts w:ascii="Times New Roman" w:hAnsi="Times New Roman" w:cs="Times New Roman"/>
        </w:rPr>
        <w:t>June 2020</w:t>
      </w:r>
      <w:r w:rsidRPr="003A3568">
        <w:rPr>
          <w:rFonts w:ascii="Times New Roman" w:hAnsi="Times New Roman" w:cs="Times New Roman"/>
        </w:rPr>
        <w:t xml:space="preserve"> report that sales are </w:t>
      </w:r>
      <w:r w:rsidR="007F7EB5">
        <w:rPr>
          <w:rFonts w:ascii="Times New Roman" w:hAnsi="Times New Roman" w:cs="Times New Roman"/>
        </w:rPr>
        <w:t>‘</w:t>
      </w:r>
      <w:r w:rsidRPr="003A3568">
        <w:rPr>
          <w:rFonts w:ascii="Times New Roman" w:hAnsi="Times New Roman" w:cs="Times New Roman"/>
        </w:rPr>
        <w:t>much less than normal</w:t>
      </w:r>
      <w:r w:rsidR="007F7EB5">
        <w:rPr>
          <w:rFonts w:ascii="Times New Roman" w:hAnsi="Times New Roman" w:cs="Times New Roman"/>
        </w:rPr>
        <w:t>’</w:t>
      </w:r>
      <w:r>
        <w:rPr>
          <w:rFonts w:ascii="Times New Roman" w:hAnsi="Times New Roman" w:cs="Times New Roman"/>
        </w:rPr>
        <w:t xml:space="preserve"> as against </w:t>
      </w:r>
      <w:r w:rsidRPr="003A3568">
        <w:rPr>
          <w:rFonts w:ascii="Times New Roman" w:hAnsi="Times New Roman" w:cs="Times New Roman"/>
        </w:rPr>
        <w:t xml:space="preserve">over </w:t>
      </w:r>
      <w:r w:rsidR="007F7EB5">
        <w:rPr>
          <w:rFonts w:ascii="Times New Roman" w:hAnsi="Times New Roman" w:cs="Times New Roman"/>
        </w:rPr>
        <w:t xml:space="preserve">75% in May 2020 and </w:t>
      </w:r>
      <w:r w:rsidR="007914B6">
        <w:rPr>
          <w:rFonts w:ascii="Times New Roman" w:hAnsi="Times New Roman" w:cs="Times New Roman"/>
        </w:rPr>
        <w:t>81</w:t>
      </w:r>
      <w:r w:rsidRPr="003A3568">
        <w:rPr>
          <w:rFonts w:ascii="Times New Roman" w:hAnsi="Times New Roman" w:cs="Times New Roman"/>
        </w:rPr>
        <w:t>%</w:t>
      </w:r>
      <w:r>
        <w:rPr>
          <w:rFonts w:ascii="Times New Roman" w:hAnsi="Times New Roman" w:cs="Times New Roman"/>
        </w:rPr>
        <w:t xml:space="preserve"> firms reporting in </w:t>
      </w:r>
      <w:r w:rsidR="007914B6" w:rsidRPr="003C0A84">
        <w:rPr>
          <w:rFonts w:ascii="Times New Roman" w:hAnsi="Times New Roman" w:cs="Times New Roman"/>
        </w:rPr>
        <w:t>March</w:t>
      </w:r>
      <w:r w:rsidRPr="003C0A84">
        <w:rPr>
          <w:rFonts w:ascii="Times New Roman" w:hAnsi="Times New Roman" w:cs="Times New Roman"/>
        </w:rPr>
        <w:t xml:space="preserve"> 2020.</w:t>
      </w:r>
      <w:r w:rsidR="00727C41" w:rsidRPr="003C0A84">
        <w:rPr>
          <w:rStyle w:val="FootnoteReference"/>
          <w:rFonts w:ascii="Times New Roman" w:hAnsi="Times New Roman" w:cs="Times New Roman"/>
        </w:rPr>
        <w:footnoteReference w:id="1"/>
      </w:r>
      <w:r w:rsidRPr="003A3568">
        <w:rPr>
          <w:rFonts w:ascii="Times New Roman" w:hAnsi="Times New Roman" w:cs="Times New Roman"/>
        </w:rPr>
        <w:t xml:space="preserve"> </w:t>
      </w:r>
    </w:p>
    <w:p w14:paraId="4136C022" w14:textId="77777777" w:rsidR="00C22C21" w:rsidRPr="003A3568" w:rsidRDefault="00C22C21" w:rsidP="00C22C21">
      <w:pPr>
        <w:pStyle w:val="ListParagraph"/>
        <w:spacing w:after="0" w:line="240" w:lineRule="auto"/>
        <w:jc w:val="both"/>
        <w:rPr>
          <w:rFonts w:ascii="Times New Roman" w:hAnsi="Times New Roman" w:cs="Times New Roman"/>
          <w:b/>
        </w:rPr>
      </w:pPr>
    </w:p>
    <w:p w14:paraId="6C75A3BA" w14:textId="4CFD92FC" w:rsidR="00C22C21" w:rsidRPr="00015185" w:rsidRDefault="007F7EB5" w:rsidP="00796AC9">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While there seems to be some improvement of sales from ‘much less than’ category, a</w:t>
      </w:r>
      <w:r w:rsidR="00C22C21">
        <w:rPr>
          <w:rFonts w:ascii="Times New Roman" w:hAnsi="Times New Roman" w:cs="Times New Roman"/>
        </w:rPr>
        <w:t>round 9</w:t>
      </w:r>
      <w:r>
        <w:rPr>
          <w:rFonts w:ascii="Times New Roman" w:hAnsi="Times New Roman" w:cs="Times New Roman"/>
        </w:rPr>
        <w:t>1</w:t>
      </w:r>
      <w:r w:rsidR="00C22C21">
        <w:rPr>
          <w:rFonts w:ascii="Times New Roman" w:hAnsi="Times New Roman" w:cs="Times New Roman"/>
        </w:rPr>
        <w:t xml:space="preserve">% of the firms </w:t>
      </w:r>
      <w:r w:rsidR="00C22C21" w:rsidRPr="001655AC">
        <w:rPr>
          <w:rFonts w:ascii="Times New Roman" w:hAnsi="Times New Roman" w:cs="Times New Roman"/>
        </w:rPr>
        <w:t xml:space="preserve">in the sample </w:t>
      </w:r>
      <w:r>
        <w:rPr>
          <w:rFonts w:ascii="Times New Roman" w:hAnsi="Times New Roman" w:cs="Times New Roman"/>
        </w:rPr>
        <w:t xml:space="preserve">still </w:t>
      </w:r>
      <w:r w:rsidR="00C22C21" w:rsidRPr="001655AC">
        <w:rPr>
          <w:rFonts w:ascii="Times New Roman" w:hAnsi="Times New Roman" w:cs="Times New Roman"/>
        </w:rPr>
        <w:t>report that sales are ‘</w:t>
      </w:r>
      <w:r w:rsidR="00C22C21">
        <w:rPr>
          <w:rFonts w:ascii="Times New Roman" w:hAnsi="Times New Roman" w:cs="Times New Roman"/>
        </w:rPr>
        <w:t xml:space="preserve">somewhat or much less </w:t>
      </w:r>
      <w:r w:rsidR="00C22C21" w:rsidRPr="001655AC">
        <w:rPr>
          <w:rFonts w:ascii="Times New Roman" w:hAnsi="Times New Roman" w:cs="Times New Roman"/>
        </w:rPr>
        <w:t>than normal’</w:t>
      </w:r>
      <w:r>
        <w:rPr>
          <w:rFonts w:ascii="Times New Roman" w:hAnsi="Times New Roman" w:cs="Times New Roman"/>
        </w:rPr>
        <w:t>,</w:t>
      </w:r>
      <w:r w:rsidR="00C22C21">
        <w:rPr>
          <w:rFonts w:ascii="Times New Roman" w:hAnsi="Times New Roman" w:cs="Times New Roman"/>
        </w:rPr>
        <w:t xml:space="preserve"> as against</w:t>
      </w:r>
      <w:r>
        <w:rPr>
          <w:rFonts w:ascii="Times New Roman" w:hAnsi="Times New Roman" w:cs="Times New Roman"/>
        </w:rPr>
        <w:t xml:space="preserve"> 92% report</w:t>
      </w:r>
      <w:r w:rsidR="00796AC9">
        <w:rPr>
          <w:rFonts w:ascii="Times New Roman" w:hAnsi="Times New Roman" w:cs="Times New Roman"/>
        </w:rPr>
        <w:t>ing</w:t>
      </w:r>
      <w:r>
        <w:rPr>
          <w:rFonts w:ascii="Times New Roman" w:hAnsi="Times New Roman" w:cs="Times New Roman"/>
        </w:rPr>
        <w:t xml:space="preserve"> in May 2020</w:t>
      </w:r>
      <w:r w:rsidR="00C22C21">
        <w:rPr>
          <w:rFonts w:ascii="Times New Roman" w:hAnsi="Times New Roman" w:cs="Times New Roman"/>
        </w:rPr>
        <w:t xml:space="preserve"> </w:t>
      </w:r>
      <w:r w:rsidR="00C22C21" w:rsidRPr="001655AC">
        <w:rPr>
          <w:rFonts w:ascii="Times New Roman" w:hAnsi="Times New Roman" w:cs="Times New Roman"/>
        </w:rPr>
        <w:t xml:space="preserve">(Chart </w:t>
      </w:r>
      <w:r w:rsidR="00C22C21">
        <w:rPr>
          <w:rFonts w:ascii="Times New Roman" w:hAnsi="Times New Roman" w:cs="Times New Roman"/>
        </w:rPr>
        <w:t>3</w:t>
      </w:r>
      <w:r w:rsidR="00C22C21" w:rsidRPr="001655AC">
        <w:rPr>
          <w:rFonts w:ascii="Times New Roman" w:hAnsi="Times New Roman" w:cs="Times New Roman"/>
        </w:rPr>
        <w:t xml:space="preserve">). </w:t>
      </w:r>
      <w:r w:rsidR="00C22C21">
        <w:rPr>
          <w:rFonts w:ascii="Times New Roman" w:hAnsi="Times New Roman" w:cs="Times New Roman"/>
        </w:rPr>
        <w:t xml:space="preserve">Note that this proportion has remained over 70% since June 2019.  </w:t>
      </w:r>
    </w:p>
    <w:p w14:paraId="78170C6E" w14:textId="77777777" w:rsidR="00C22C21" w:rsidRDefault="00C22C21" w:rsidP="00C22C21">
      <w:pPr>
        <w:pStyle w:val="ListParagraph"/>
        <w:spacing w:after="0" w:line="240" w:lineRule="auto"/>
        <w:jc w:val="center"/>
        <w:rPr>
          <w:rFonts w:ascii="Times New Roman" w:hAnsi="Times New Roman" w:cs="Times New Roman"/>
          <w:b/>
          <w:bCs/>
        </w:rPr>
      </w:pPr>
    </w:p>
    <w:p w14:paraId="2744CD86" w14:textId="77777777" w:rsidR="00C22C21" w:rsidRDefault="00C22C21" w:rsidP="00C22C21">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Pr>
          <w:rFonts w:ascii="Times New Roman" w:hAnsi="Times New Roman" w:cs="Times New Roman"/>
          <w:b/>
          <w:bCs/>
        </w:rPr>
        <w:t>3</w:t>
      </w:r>
      <w:r w:rsidRPr="001D09C4">
        <w:rPr>
          <w:rFonts w:ascii="Times New Roman" w:hAnsi="Times New Roman" w:cs="Times New Roman"/>
          <w:b/>
          <w:bCs/>
        </w:rPr>
        <w:t>: Sales Levels - % response</w:t>
      </w:r>
    </w:p>
    <w:p w14:paraId="158D675F" w14:textId="53FC3769" w:rsidR="00C22C21" w:rsidRDefault="00A95C0D" w:rsidP="00C22C21">
      <w:pPr>
        <w:pStyle w:val="ListParagraph"/>
        <w:spacing w:after="0" w:line="240" w:lineRule="auto"/>
        <w:jc w:val="center"/>
        <w:rPr>
          <w:rFonts w:ascii="Times New Roman" w:hAnsi="Times New Roman" w:cs="Times New Roman"/>
          <w:b/>
          <w:bCs/>
        </w:rPr>
      </w:pPr>
      <w:r>
        <w:rPr>
          <w:noProof/>
          <w:lang w:val="en-IN" w:eastAsia="en-IN"/>
        </w:rPr>
        <w:drawing>
          <wp:inline distT="0" distB="0" distL="0" distR="0" wp14:anchorId="0DE6A7C4" wp14:editId="3E29C3CD">
            <wp:extent cx="4943475" cy="22955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36B3F" w14:textId="0F95ADB4" w:rsidR="00C22C21" w:rsidRDefault="00C22C21" w:rsidP="00C22C21">
      <w:pPr>
        <w:pStyle w:val="ListParagraph"/>
        <w:spacing w:after="0" w:line="240" w:lineRule="auto"/>
        <w:jc w:val="center"/>
        <w:rPr>
          <w:rFonts w:ascii="Times New Roman" w:hAnsi="Times New Roman" w:cs="Times New Roman"/>
          <w:b/>
          <w:bCs/>
        </w:rPr>
      </w:pPr>
    </w:p>
    <w:p w14:paraId="1FF63185" w14:textId="4418D50A" w:rsidR="00C22C21" w:rsidRDefault="00C22C21" w:rsidP="00C22C21">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D. </w:t>
      </w:r>
      <w:r w:rsidRPr="004C6586">
        <w:rPr>
          <w:rFonts w:ascii="Times New Roman" w:hAnsi="Times New Roman" w:cs="Times New Roman"/>
          <w:b/>
          <w:bCs/>
        </w:rPr>
        <w:t>Profit Margins</w:t>
      </w:r>
    </w:p>
    <w:p w14:paraId="42D688DE" w14:textId="77777777" w:rsidR="00C22C21" w:rsidRPr="004C6586" w:rsidRDefault="00C22C21" w:rsidP="00C22C21">
      <w:pPr>
        <w:spacing w:after="0" w:line="240" w:lineRule="auto"/>
        <w:jc w:val="both"/>
        <w:rPr>
          <w:rFonts w:ascii="Times New Roman" w:hAnsi="Times New Roman" w:cs="Times New Roman"/>
          <w:b/>
          <w:bCs/>
        </w:rPr>
      </w:pPr>
    </w:p>
    <w:p w14:paraId="5CDC00CD" w14:textId="14E5ACF5" w:rsidR="0000342E" w:rsidRPr="0000342E" w:rsidRDefault="0000342E" w:rsidP="003C0A84">
      <w:pPr>
        <w:pStyle w:val="ListParagraph"/>
        <w:numPr>
          <w:ilvl w:val="0"/>
          <w:numId w:val="14"/>
        </w:numPr>
        <w:spacing w:after="0" w:line="240" w:lineRule="auto"/>
        <w:ind w:left="709"/>
        <w:jc w:val="both"/>
        <w:rPr>
          <w:rFonts w:ascii="Times New Roman" w:hAnsi="Times New Roman" w:cs="Times New Roman"/>
          <w:b/>
          <w:bCs/>
          <w:lang w:bidi="hi-IN"/>
        </w:rPr>
      </w:pPr>
      <w:r w:rsidRPr="0000342E">
        <w:rPr>
          <w:rFonts w:ascii="Times New Roman" w:hAnsi="Times New Roman" w:cs="Times New Roman"/>
        </w:rPr>
        <w:t xml:space="preserve">Over </w:t>
      </w:r>
      <w:r w:rsidR="00A16BE6">
        <w:rPr>
          <w:rFonts w:ascii="Times New Roman" w:hAnsi="Times New Roman" w:cs="Times New Roman"/>
        </w:rPr>
        <w:t>68</w:t>
      </w:r>
      <w:r w:rsidRPr="0000342E">
        <w:rPr>
          <w:rFonts w:ascii="Times New Roman" w:hAnsi="Times New Roman" w:cs="Times New Roman"/>
        </w:rPr>
        <w:t xml:space="preserve">% </w:t>
      </w:r>
      <w:r w:rsidR="00C22C21" w:rsidRPr="0000342E">
        <w:rPr>
          <w:rFonts w:ascii="Times New Roman" w:hAnsi="Times New Roman" w:cs="Times New Roman"/>
        </w:rPr>
        <w:t xml:space="preserve">of firms in the sample </w:t>
      </w:r>
      <w:r w:rsidRPr="0000342E">
        <w:rPr>
          <w:rFonts w:ascii="Times New Roman" w:hAnsi="Times New Roman" w:cs="Times New Roman"/>
        </w:rPr>
        <w:t xml:space="preserve">in </w:t>
      </w:r>
      <w:r w:rsidR="00A16BE6">
        <w:rPr>
          <w:rFonts w:ascii="Times New Roman" w:hAnsi="Times New Roman" w:cs="Times New Roman"/>
        </w:rPr>
        <w:t>June</w:t>
      </w:r>
      <w:r w:rsidRPr="0000342E">
        <w:rPr>
          <w:rFonts w:ascii="Times New Roman" w:hAnsi="Times New Roman" w:cs="Times New Roman"/>
        </w:rPr>
        <w:t xml:space="preserve"> 2020 </w:t>
      </w:r>
      <w:r w:rsidR="00C22C21" w:rsidRPr="0000342E">
        <w:rPr>
          <w:rFonts w:ascii="Times New Roman" w:hAnsi="Times New Roman" w:cs="Times New Roman"/>
        </w:rPr>
        <w:t>report</w:t>
      </w:r>
      <w:r w:rsidRPr="0000342E">
        <w:rPr>
          <w:rFonts w:ascii="Times New Roman" w:hAnsi="Times New Roman" w:cs="Times New Roman"/>
        </w:rPr>
        <w:t>ed</w:t>
      </w:r>
      <w:r w:rsidR="00C22C21" w:rsidRPr="0000342E">
        <w:rPr>
          <w:rFonts w:ascii="Times New Roman" w:hAnsi="Times New Roman" w:cs="Times New Roman"/>
        </w:rPr>
        <w:t xml:space="preserve"> ‘much less than normal’ profit </w:t>
      </w:r>
      <w:r w:rsidRPr="0000342E">
        <w:rPr>
          <w:rFonts w:ascii="Times New Roman" w:hAnsi="Times New Roman" w:cs="Times New Roman"/>
        </w:rPr>
        <w:t xml:space="preserve">as against </w:t>
      </w:r>
      <w:r w:rsidR="00A16BE6">
        <w:rPr>
          <w:rFonts w:ascii="Times New Roman" w:hAnsi="Times New Roman" w:cs="Times New Roman"/>
        </w:rPr>
        <w:t>74</w:t>
      </w:r>
      <w:r w:rsidR="00C22C21" w:rsidRPr="0000342E">
        <w:rPr>
          <w:rFonts w:ascii="Times New Roman" w:hAnsi="Times New Roman" w:cs="Times New Roman"/>
        </w:rPr>
        <w:t xml:space="preserve">% </w:t>
      </w:r>
      <w:r w:rsidR="00C22C21" w:rsidRPr="003C0A84">
        <w:rPr>
          <w:rFonts w:ascii="Times New Roman" w:hAnsi="Times New Roman" w:cs="Times New Roman"/>
        </w:rPr>
        <w:t>in Ma</w:t>
      </w:r>
      <w:r w:rsidR="00A16BE6">
        <w:rPr>
          <w:rFonts w:ascii="Times New Roman" w:hAnsi="Times New Roman" w:cs="Times New Roman"/>
        </w:rPr>
        <w:t>y</w:t>
      </w:r>
      <w:r w:rsidR="00D11372">
        <w:rPr>
          <w:rFonts w:ascii="Times New Roman" w:hAnsi="Times New Roman" w:cs="Times New Roman"/>
        </w:rPr>
        <w:t xml:space="preserve"> </w:t>
      </w:r>
      <w:r w:rsidR="00C22C21" w:rsidRPr="0000342E">
        <w:rPr>
          <w:rFonts w:ascii="Times New Roman" w:hAnsi="Times New Roman" w:cs="Times New Roman"/>
        </w:rPr>
        <w:t>2020</w:t>
      </w:r>
      <w:r w:rsidRPr="0000342E">
        <w:rPr>
          <w:rFonts w:ascii="Times New Roman" w:hAnsi="Times New Roman" w:cs="Times New Roman"/>
        </w:rPr>
        <w:t>.</w:t>
      </w:r>
      <w:r w:rsidR="00C22C21" w:rsidRPr="0000342E">
        <w:rPr>
          <w:rFonts w:ascii="Times New Roman" w:hAnsi="Times New Roman" w:cs="Times New Roman"/>
        </w:rPr>
        <w:t xml:space="preserve"> </w:t>
      </w:r>
    </w:p>
    <w:p w14:paraId="277ED10A" w14:textId="77777777" w:rsidR="0000342E" w:rsidRPr="0000342E" w:rsidRDefault="0000342E" w:rsidP="0000342E">
      <w:pPr>
        <w:pStyle w:val="ListParagraph"/>
        <w:spacing w:after="0" w:line="240" w:lineRule="auto"/>
        <w:ind w:left="709"/>
        <w:jc w:val="both"/>
        <w:rPr>
          <w:rFonts w:ascii="Times New Roman" w:hAnsi="Times New Roman" w:cs="Times New Roman"/>
          <w:b/>
          <w:bCs/>
          <w:lang w:bidi="hi-IN"/>
        </w:rPr>
      </w:pPr>
    </w:p>
    <w:p w14:paraId="3B4D866A" w14:textId="7582E47C" w:rsidR="00C22C21" w:rsidRPr="0000342E" w:rsidRDefault="00C22C21" w:rsidP="00D86324">
      <w:pPr>
        <w:pStyle w:val="ListParagraph"/>
        <w:numPr>
          <w:ilvl w:val="0"/>
          <w:numId w:val="14"/>
        </w:numPr>
        <w:spacing w:after="0" w:line="240" w:lineRule="auto"/>
        <w:ind w:left="709"/>
        <w:jc w:val="both"/>
        <w:rPr>
          <w:rFonts w:ascii="Times New Roman" w:hAnsi="Times New Roman" w:cs="Times New Roman"/>
          <w:b/>
          <w:bCs/>
          <w:lang w:bidi="hi-IN"/>
        </w:rPr>
      </w:pPr>
      <w:r w:rsidRPr="0000342E">
        <w:rPr>
          <w:rFonts w:ascii="Times New Roman" w:hAnsi="Times New Roman" w:cs="Times New Roman"/>
        </w:rPr>
        <w:t xml:space="preserve">Over </w:t>
      </w:r>
      <w:r w:rsidR="00A16BE6">
        <w:rPr>
          <w:rFonts w:ascii="Times New Roman" w:hAnsi="Times New Roman" w:cs="Times New Roman"/>
        </w:rPr>
        <w:t>86</w:t>
      </w:r>
      <w:r w:rsidRPr="0000342E">
        <w:rPr>
          <w:rFonts w:ascii="Times New Roman" w:hAnsi="Times New Roman" w:cs="Times New Roman"/>
        </w:rPr>
        <w:t xml:space="preserve">% of the firms in the sample </w:t>
      </w:r>
      <w:r w:rsidR="00A16BE6">
        <w:rPr>
          <w:rFonts w:ascii="Times New Roman" w:hAnsi="Times New Roman" w:cs="Times New Roman"/>
        </w:rPr>
        <w:t xml:space="preserve">in June 2020 </w:t>
      </w:r>
      <w:r w:rsidRPr="0000342E">
        <w:rPr>
          <w:rFonts w:ascii="Times New Roman" w:hAnsi="Times New Roman" w:cs="Times New Roman"/>
        </w:rPr>
        <w:t>expect ‘much less than normal or somewhat less than normal’ profit margins</w:t>
      </w:r>
      <w:r w:rsidR="00A16BE6">
        <w:rPr>
          <w:rFonts w:ascii="Times New Roman" w:hAnsi="Times New Roman" w:cs="Times New Roman"/>
        </w:rPr>
        <w:t xml:space="preserve"> – down from 89% </w:t>
      </w:r>
      <w:r w:rsidR="00796AC9">
        <w:rPr>
          <w:rFonts w:ascii="Times New Roman" w:hAnsi="Times New Roman" w:cs="Times New Roman"/>
        </w:rPr>
        <w:t xml:space="preserve">that </w:t>
      </w:r>
      <w:r w:rsidR="00A16BE6">
        <w:rPr>
          <w:rFonts w:ascii="Times New Roman" w:hAnsi="Times New Roman" w:cs="Times New Roman"/>
        </w:rPr>
        <w:t>reported in May 2020</w:t>
      </w:r>
      <w:r w:rsidRPr="0000342E">
        <w:rPr>
          <w:rFonts w:ascii="Times New Roman" w:hAnsi="Times New Roman" w:cs="Times New Roman"/>
        </w:rPr>
        <w:t xml:space="preserve"> (Chart 4). Note that this proportion </w:t>
      </w:r>
      <w:r w:rsidR="008E7685">
        <w:rPr>
          <w:rFonts w:ascii="Times New Roman" w:hAnsi="Times New Roman" w:cs="Times New Roman"/>
        </w:rPr>
        <w:t>was hovering</w:t>
      </w:r>
      <w:r w:rsidRPr="0000342E">
        <w:rPr>
          <w:rFonts w:ascii="Times New Roman" w:hAnsi="Times New Roman" w:cs="Times New Roman"/>
        </w:rPr>
        <w:t xml:space="preserve"> around 75% since June 2019 till January 2020</w:t>
      </w:r>
      <w:r w:rsidR="008E7685">
        <w:rPr>
          <w:rFonts w:ascii="Times New Roman" w:hAnsi="Times New Roman" w:cs="Times New Roman"/>
        </w:rPr>
        <w:t>, the</w:t>
      </w:r>
      <w:r w:rsidR="00796AC9">
        <w:rPr>
          <w:rFonts w:ascii="Times New Roman" w:hAnsi="Times New Roman" w:cs="Times New Roman"/>
        </w:rPr>
        <w:t>reafter</w:t>
      </w:r>
      <w:r w:rsidR="008E7685">
        <w:rPr>
          <w:rFonts w:ascii="Times New Roman" w:hAnsi="Times New Roman" w:cs="Times New Roman"/>
        </w:rPr>
        <w:t xml:space="preserve"> it went up further</w:t>
      </w:r>
      <w:r w:rsidRPr="0000342E">
        <w:rPr>
          <w:rFonts w:ascii="Times New Roman" w:hAnsi="Times New Roman" w:cs="Times New Roman"/>
        </w:rPr>
        <w:t xml:space="preserve">. </w:t>
      </w:r>
    </w:p>
    <w:p w14:paraId="282A5B3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FA0420" w14:textId="77777777" w:rsidR="00C22C21" w:rsidRDefault="00C22C21" w:rsidP="00C22C21">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417D33D7" w14:textId="77777777" w:rsidR="00C22C21" w:rsidRDefault="00C22C21" w:rsidP="00C22C21">
      <w:pPr>
        <w:spacing w:after="0" w:line="240" w:lineRule="auto"/>
        <w:ind w:left="360"/>
        <w:jc w:val="center"/>
        <w:rPr>
          <w:rFonts w:ascii="Times New Roman" w:hAnsi="Times New Roman" w:cs="Times New Roman"/>
          <w:b/>
          <w:bCs/>
          <w:lang w:val="en-US" w:bidi="hi-IN"/>
        </w:rPr>
      </w:pPr>
    </w:p>
    <w:p w14:paraId="7B3A8E74" w14:textId="38BDAC99" w:rsidR="00C22C21" w:rsidRDefault="00A95C0D" w:rsidP="00C22C21">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5F9328F8" wp14:editId="75BEE596">
            <wp:extent cx="5561330" cy="2514600"/>
            <wp:effectExtent l="0" t="0" r="12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1F29BA" w14:textId="77777777" w:rsidR="00D1761A" w:rsidRDefault="00D1761A" w:rsidP="00C32EC0">
      <w:pPr>
        <w:spacing w:after="0" w:line="240" w:lineRule="auto"/>
        <w:jc w:val="center"/>
        <w:rPr>
          <w:rFonts w:ascii="Times New Roman" w:hAnsi="Times New Roman" w:cs="Times New Roman"/>
          <w:b/>
          <w:sz w:val="28"/>
          <w:szCs w:val="28"/>
        </w:rPr>
      </w:pPr>
    </w:p>
    <w:p w14:paraId="2530FA8B" w14:textId="77777777" w:rsidR="004D0729" w:rsidRDefault="004D0729" w:rsidP="004D0729">
      <w:pPr>
        <w:spacing w:after="0" w:line="240" w:lineRule="auto"/>
        <w:ind w:left="360"/>
        <w:jc w:val="both"/>
        <w:rPr>
          <w:rFonts w:ascii="Times New Roman" w:hAnsi="Times New Roman" w:cs="Times New Roman"/>
          <w:i/>
          <w:iCs/>
          <w:sz w:val="20"/>
          <w:szCs w:val="20"/>
          <w:u w:val="single"/>
        </w:rPr>
      </w:pPr>
    </w:p>
    <w:p w14:paraId="00DC5C9F" w14:textId="12E6394D" w:rsidR="004D0729" w:rsidRPr="00AB144A" w:rsidRDefault="004D0729" w:rsidP="004D0729">
      <w:pPr>
        <w:spacing w:after="0" w:line="240" w:lineRule="auto"/>
        <w:ind w:left="360"/>
        <w:jc w:val="both"/>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20D9FEA1" w14:textId="77777777" w:rsidR="004D0729" w:rsidRPr="00AB144A" w:rsidRDefault="004D0729" w:rsidP="004D0729">
      <w:pPr>
        <w:spacing w:after="0" w:line="240" w:lineRule="auto"/>
        <w:ind w:left="360"/>
        <w:jc w:val="both"/>
        <w:rPr>
          <w:rFonts w:ascii="Times New Roman" w:hAnsi="Times New Roman" w:cs="Times New Roman"/>
          <w:i/>
          <w:iCs/>
          <w:sz w:val="20"/>
          <w:szCs w:val="20"/>
          <w:u w:val="single"/>
        </w:rPr>
      </w:pPr>
    </w:p>
    <w:p w14:paraId="6FFB3CBC" w14:textId="77777777" w:rsidR="004D0729" w:rsidRPr="00AB144A" w:rsidRDefault="004D0729" w:rsidP="004D0729">
      <w:pPr>
        <w:spacing w:after="0" w:line="240" w:lineRule="auto"/>
        <w:ind w:left="360"/>
        <w:jc w:val="both"/>
        <w:rPr>
          <w:rFonts w:ascii="Times New Roman" w:hAnsi="Times New Roman" w:cs="Times New Roman"/>
          <w:sz w:val="20"/>
          <w:szCs w:val="20"/>
        </w:rPr>
      </w:pPr>
    </w:p>
    <w:p w14:paraId="1455F654" w14:textId="77777777" w:rsidR="004D0729" w:rsidRPr="00AB144A" w:rsidRDefault="004D0729" w:rsidP="004D0729">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40D7BC13" w14:textId="77777777" w:rsidR="004D0729" w:rsidRPr="00AB144A" w:rsidRDefault="004D0729" w:rsidP="004D0729">
      <w:pPr>
        <w:spacing w:after="0" w:line="240" w:lineRule="auto"/>
        <w:ind w:left="360"/>
        <w:jc w:val="both"/>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2F56EA4A" w14:textId="77777777" w:rsidR="004D0729" w:rsidRPr="003A4953" w:rsidRDefault="004D0729" w:rsidP="004D0729">
      <w:pPr>
        <w:spacing w:after="0" w:line="240" w:lineRule="auto"/>
        <w:ind w:left="360"/>
        <w:jc w:val="both"/>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3" w:history="1">
        <w:r w:rsidRPr="00AB144A">
          <w:rPr>
            <w:rStyle w:val="Hyperlink"/>
            <w:rFonts w:ascii="Times New Roman" w:hAnsi="Times New Roman" w:cs="Times New Roman"/>
            <w:sz w:val="20"/>
            <w:szCs w:val="20"/>
          </w:rPr>
          <w:t>pr@iima.ac.in</w:t>
        </w:r>
      </w:hyperlink>
    </w:p>
    <w:p w14:paraId="736AFFCA" w14:textId="77777777" w:rsidR="00D1761A" w:rsidRDefault="00D1761A" w:rsidP="00C32EC0">
      <w:pPr>
        <w:spacing w:after="0" w:line="240" w:lineRule="auto"/>
        <w:jc w:val="center"/>
        <w:rPr>
          <w:rFonts w:ascii="Times New Roman" w:hAnsi="Times New Roman" w:cs="Times New Roman"/>
          <w:b/>
          <w:sz w:val="28"/>
          <w:szCs w:val="28"/>
        </w:rPr>
      </w:pPr>
    </w:p>
    <w:p w14:paraId="0023D3D0" w14:textId="3466D401" w:rsidR="00D1761A" w:rsidRDefault="00D1761A" w:rsidP="00C32EC0">
      <w:pPr>
        <w:spacing w:after="0" w:line="240" w:lineRule="auto"/>
        <w:jc w:val="center"/>
        <w:rPr>
          <w:rFonts w:ascii="Times New Roman" w:hAnsi="Times New Roman" w:cs="Times New Roman"/>
          <w:b/>
          <w:sz w:val="28"/>
          <w:szCs w:val="28"/>
        </w:rPr>
      </w:pPr>
    </w:p>
    <w:p w14:paraId="67DFE9E6" w14:textId="141D1DF5" w:rsidR="004D0729" w:rsidRDefault="004D0729" w:rsidP="00C32EC0">
      <w:pPr>
        <w:spacing w:after="0" w:line="240" w:lineRule="auto"/>
        <w:jc w:val="center"/>
        <w:rPr>
          <w:rFonts w:ascii="Times New Roman" w:hAnsi="Times New Roman" w:cs="Times New Roman"/>
          <w:b/>
          <w:sz w:val="28"/>
          <w:szCs w:val="28"/>
        </w:rPr>
      </w:pPr>
    </w:p>
    <w:p w14:paraId="3C130E14" w14:textId="420FF972" w:rsidR="004D0729" w:rsidRDefault="004D0729" w:rsidP="00C32EC0">
      <w:pPr>
        <w:spacing w:after="0" w:line="240" w:lineRule="auto"/>
        <w:jc w:val="center"/>
        <w:rPr>
          <w:rFonts w:ascii="Times New Roman" w:hAnsi="Times New Roman" w:cs="Times New Roman"/>
          <w:b/>
          <w:sz w:val="28"/>
          <w:szCs w:val="28"/>
        </w:rPr>
      </w:pPr>
    </w:p>
    <w:p w14:paraId="79E15EA1" w14:textId="55F84CFC" w:rsidR="004D0729" w:rsidRDefault="004D0729" w:rsidP="00C32EC0">
      <w:pPr>
        <w:spacing w:after="0" w:line="240" w:lineRule="auto"/>
        <w:jc w:val="center"/>
        <w:rPr>
          <w:rFonts w:ascii="Times New Roman" w:hAnsi="Times New Roman" w:cs="Times New Roman"/>
          <w:b/>
          <w:sz w:val="28"/>
          <w:szCs w:val="28"/>
        </w:rPr>
      </w:pPr>
    </w:p>
    <w:p w14:paraId="31AE3B2F" w14:textId="04215989" w:rsidR="004D0729" w:rsidRDefault="004D0729" w:rsidP="00C32EC0">
      <w:pPr>
        <w:spacing w:after="0" w:line="240" w:lineRule="auto"/>
        <w:jc w:val="center"/>
        <w:rPr>
          <w:rFonts w:ascii="Times New Roman" w:hAnsi="Times New Roman" w:cs="Times New Roman"/>
          <w:b/>
          <w:sz w:val="28"/>
          <w:szCs w:val="28"/>
        </w:rPr>
      </w:pPr>
    </w:p>
    <w:p w14:paraId="0E749FFC" w14:textId="2B2A3767" w:rsidR="004D0729" w:rsidRDefault="004D0729" w:rsidP="00C32EC0">
      <w:pPr>
        <w:spacing w:after="0" w:line="240" w:lineRule="auto"/>
        <w:jc w:val="center"/>
        <w:rPr>
          <w:rFonts w:ascii="Times New Roman" w:hAnsi="Times New Roman" w:cs="Times New Roman"/>
          <w:b/>
          <w:sz w:val="28"/>
          <w:szCs w:val="28"/>
        </w:rPr>
      </w:pPr>
    </w:p>
    <w:p w14:paraId="0D9C2E62" w14:textId="3BAC0F6A" w:rsidR="004D0729" w:rsidRDefault="004D0729" w:rsidP="00C32EC0">
      <w:pPr>
        <w:spacing w:after="0" w:line="240" w:lineRule="auto"/>
        <w:jc w:val="center"/>
        <w:rPr>
          <w:rFonts w:ascii="Times New Roman" w:hAnsi="Times New Roman" w:cs="Times New Roman"/>
          <w:b/>
          <w:sz w:val="28"/>
          <w:szCs w:val="28"/>
        </w:rPr>
      </w:pPr>
    </w:p>
    <w:p w14:paraId="52D8169F" w14:textId="46E8A5AE" w:rsidR="004D0729" w:rsidRDefault="004D0729" w:rsidP="00C32EC0">
      <w:pPr>
        <w:spacing w:after="0" w:line="240" w:lineRule="auto"/>
        <w:jc w:val="center"/>
        <w:rPr>
          <w:rFonts w:ascii="Times New Roman" w:hAnsi="Times New Roman" w:cs="Times New Roman"/>
          <w:b/>
          <w:sz w:val="28"/>
          <w:szCs w:val="28"/>
        </w:rPr>
      </w:pPr>
    </w:p>
    <w:p w14:paraId="6628EED5" w14:textId="4B5F4D6D" w:rsidR="004D0729" w:rsidRDefault="004D0729" w:rsidP="00C32EC0">
      <w:pPr>
        <w:spacing w:after="0" w:line="240" w:lineRule="auto"/>
        <w:jc w:val="center"/>
        <w:rPr>
          <w:rFonts w:ascii="Times New Roman" w:hAnsi="Times New Roman" w:cs="Times New Roman"/>
          <w:b/>
          <w:sz w:val="28"/>
          <w:szCs w:val="28"/>
        </w:rPr>
      </w:pPr>
    </w:p>
    <w:p w14:paraId="222A2597" w14:textId="45F0E746" w:rsidR="004D0729" w:rsidRDefault="004D0729" w:rsidP="00C32EC0">
      <w:pPr>
        <w:spacing w:after="0" w:line="240" w:lineRule="auto"/>
        <w:jc w:val="center"/>
        <w:rPr>
          <w:rFonts w:ascii="Times New Roman" w:hAnsi="Times New Roman" w:cs="Times New Roman"/>
          <w:b/>
          <w:sz w:val="28"/>
          <w:szCs w:val="28"/>
        </w:rPr>
      </w:pPr>
    </w:p>
    <w:p w14:paraId="45E544F7" w14:textId="07939E16" w:rsidR="004D0729" w:rsidRDefault="004D0729" w:rsidP="00C32EC0">
      <w:pPr>
        <w:spacing w:after="0" w:line="240" w:lineRule="auto"/>
        <w:jc w:val="center"/>
        <w:rPr>
          <w:rFonts w:ascii="Times New Roman" w:hAnsi="Times New Roman" w:cs="Times New Roman"/>
          <w:b/>
          <w:sz w:val="28"/>
          <w:szCs w:val="28"/>
        </w:rPr>
      </w:pPr>
    </w:p>
    <w:p w14:paraId="45246A1D" w14:textId="2107B640" w:rsidR="004D0729" w:rsidRDefault="004D0729" w:rsidP="00C32EC0">
      <w:pPr>
        <w:spacing w:after="0" w:line="240" w:lineRule="auto"/>
        <w:jc w:val="center"/>
        <w:rPr>
          <w:rFonts w:ascii="Times New Roman" w:hAnsi="Times New Roman" w:cs="Times New Roman"/>
          <w:b/>
          <w:sz w:val="28"/>
          <w:szCs w:val="28"/>
        </w:rPr>
      </w:pPr>
    </w:p>
    <w:p w14:paraId="3FE77550" w14:textId="2D8C6384" w:rsidR="004D0729" w:rsidRDefault="004D0729" w:rsidP="00C32EC0">
      <w:pPr>
        <w:spacing w:after="0" w:line="240" w:lineRule="auto"/>
        <w:jc w:val="center"/>
        <w:rPr>
          <w:rFonts w:ascii="Times New Roman" w:hAnsi="Times New Roman" w:cs="Times New Roman"/>
          <w:b/>
          <w:sz w:val="28"/>
          <w:szCs w:val="28"/>
        </w:rPr>
      </w:pPr>
    </w:p>
    <w:p w14:paraId="7DD2968A" w14:textId="77777777" w:rsidR="004D0729" w:rsidRDefault="004D0729" w:rsidP="00C32EC0">
      <w:pPr>
        <w:spacing w:after="0" w:line="240" w:lineRule="auto"/>
        <w:jc w:val="center"/>
        <w:rPr>
          <w:rFonts w:ascii="Times New Roman" w:hAnsi="Times New Roman" w:cs="Times New Roman"/>
          <w:b/>
          <w:sz w:val="28"/>
          <w:szCs w:val="28"/>
        </w:rPr>
      </w:pPr>
    </w:p>
    <w:p w14:paraId="01D3BEEE" w14:textId="6308697B" w:rsidR="00D1761A" w:rsidRDefault="00D1761A" w:rsidP="00C32EC0">
      <w:pPr>
        <w:spacing w:after="0" w:line="240" w:lineRule="auto"/>
        <w:jc w:val="center"/>
        <w:rPr>
          <w:rFonts w:ascii="Times New Roman" w:hAnsi="Times New Roman" w:cs="Times New Roman"/>
          <w:b/>
          <w:sz w:val="28"/>
          <w:szCs w:val="28"/>
        </w:rPr>
      </w:pPr>
    </w:p>
    <w:p w14:paraId="54C37C5C" w14:textId="6A86A5BE" w:rsidR="004D0729" w:rsidRDefault="004D0729" w:rsidP="00C32EC0">
      <w:pPr>
        <w:spacing w:after="0" w:line="240" w:lineRule="auto"/>
        <w:jc w:val="center"/>
        <w:rPr>
          <w:rFonts w:ascii="Times New Roman" w:hAnsi="Times New Roman" w:cs="Times New Roman"/>
          <w:b/>
          <w:sz w:val="28"/>
          <w:szCs w:val="28"/>
        </w:rPr>
      </w:pPr>
    </w:p>
    <w:p w14:paraId="4A915F70" w14:textId="77777777" w:rsidR="004D0729" w:rsidRDefault="004D0729" w:rsidP="00C32EC0">
      <w:pPr>
        <w:spacing w:after="0" w:line="240" w:lineRule="auto"/>
        <w:jc w:val="center"/>
        <w:rPr>
          <w:rFonts w:ascii="Times New Roman" w:hAnsi="Times New Roman" w:cs="Times New Roman"/>
          <w:b/>
          <w:sz w:val="28"/>
          <w:szCs w:val="28"/>
        </w:rPr>
      </w:pPr>
    </w:p>
    <w:p w14:paraId="5C0BA119" w14:textId="77777777" w:rsidR="00D1761A" w:rsidRDefault="00D1761A" w:rsidP="004D0729">
      <w:pPr>
        <w:spacing w:after="0" w:line="240" w:lineRule="auto"/>
        <w:rPr>
          <w:rFonts w:ascii="Times New Roman" w:hAnsi="Times New Roman" w:cs="Times New Roman"/>
          <w:b/>
          <w:sz w:val="28"/>
          <w:szCs w:val="28"/>
        </w:rPr>
      </w:pPr>
    </w:p>
    <w:p w14:paraId="346EF40F" w14:textId="77777777" w:rsidR="004D0729" w:rsidRDefault="004D0729" w:rsidP="004D0729">
      <w:pPr>
        <w:spacing w:after="0" w:line="240" w:lineRule="auto"/>
        <w:rPr>
          <w:rFonts w:ascii="Times New Roman" w:hAnsi="Times New Roman" w:cs="Times New Roman"/>
          <w:b/>
          <w:sz w:val="28"/>
          <w:szCs w:val="28"/>
        </w:rPr>
      </w:pPr>
    </w:p>
    <w:p w14:paraId="3C0EC55A" w14:textId="2ED4CAA5" w:rsidR="009F5421" w:rsidRDefault="009F5421" w:rsidP="004D0729">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t>Busine</w:t>
      </w:r>
      <w:r w:rsidR="004D0729">
        <w:rPr>
          <w:rFonts w:ascii="Times New Roman" w:hAnsi="Times New Roman" w:cs="Times New Roman"/>
          <w:b/>
          <w:sz w:val="28"/>
          <w:szCs w:val="28"/>
        </w:rPr>
        <w:t>s</w:t>
      </w:r>
      <w:r w:rsidRPr="009F5421">
        <w:rPr>
          <w:rFonts w:ascii="Times New Roman" w:hAnsi="Times New Roman" w:cs="Times New Roman"/>
          <w:b/>
          <w:sz w:val="28"/>
          <w:szCs w:val="28"/>
        </w:rPr>
        <w:t>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C32EC0">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C32EC0">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C32EC0">
            <w:pPr>
              <w:pStyle w:val="NormalWeb"/>
              <w:spacing w:before="0" w:beforeAutospacing="0" w:after="0" w:afterAutospacing="0"/>
              <w:jc w:val="both"/>
              <w:rPr>
                <w:sz w:val="22"/>
                <w:szCs w:val="22"/>
              </w:rPr>
            </w:pPr>
          </w:p>
          <w:p w14:paraId="7FE4ADA9" w14:textId="77777777" w:rsidR="009F5421" w:rsidRPr="009F5421" w:rsidRDefault="009F5421" w:rsidP="00C32EC0">
            <w:pPr>
              <w:pStyle w:val="ListParagraph"/>
              <w:spacing w:after="0" w:line="240" w:lineRule="auto"/>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C32EC0">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C32EC0">
            <w:pPr>
              <w:pStyle w:val="NormalWeb"/>
              <w:spacing w:before="0" w:beforeAutospacing="0" w:after="0" w:afterAutospacing="0"/>
              <w:jc w:val="both"/>
              <w:rPr>
                <w:sz w:val="22"/>
                <w:szCs w:val="22"/>
              </w:rPr>
            </w:pPr>
          </w:p>
          <w:p w14:paraId="48E34079" w14:textId="77777777" w:rsidR="009F5421" w:rsidRPr="009F5421" w:rsidRDefault="009F5421" w:rsidP="00C32EC0">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C32EC0">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C32EC0">
            <w:pPr>
              <w:pStyle w:val="NormalWeb"/>
              <w:spacing w:before="0" w:beforeAutospacing="0" w:after="0" w:afterAutospacing="0"/>
              <w:ind w:left="1800"/>
              <w:jc w:val="both"/>
              <w:rPr>
                <w:sz w:val="22"/>
                <w:szCs w:val="22"/>
              </w:rPr>
            </w:pPr>
          </w:p>
          <w:p w14:paraId="14A7EFFE" w14:textId="32981CC1" w:rsidR="002B2E73" w:rsidRDefault="002B2E73"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C32EC0">
            <w:pPr>
              <w:spacing w:after="0" w:line="240" w:lineRule="auto"/>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C32EC0">
            <w:pPr>
              <w:spacing w:after="0" w:line="240" w:lineRule="auto"/>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C32EC0">
            <w:pPr>
              <w:pStyle w:val="ListParagraph"/>
              <w:spacing w:after="0" w:line="240" w:lineRule="auto"/>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C32EC0">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C32EC0">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C32EC0">
            <w:pPr>
              <w:spacing w:after="0" w:line="240" w:lineRule="auto"/>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C32EC0">
            <w:pPr>
              <w:pStyle w:val="ListParagraph"/>
              <w:spacing w:after="0" w:line="240" w:lineRule="auto"/>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C32EC0">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C32EC0">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C32EC0">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C32EC0">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C32EC0">
            <w:pPr>
              <w:spacing w:after="0" w:line="240" w:lineRule="auto"/>
              <w:contextualSpacing/>
              <w:rPr>
                <w:rFonts w:ascii="Times New Roman" w:hAnsi="Times New Roman" w:cs="Times New Roman"/>
                <w:i/>
                <w:vertAlign w:val="superscript"/>
              </w:rPr>
            </w:pPr>
          </w:p>
          <w:p w14:paraId="6CA33490" w14:textId="788FD362" w:rsidR="009F5421" w:rsidRPr="009F5421" w:rsidRDefault="00A44EBC" w:rsidP="00C32EC0">
            <w:pPr>
              <w:spacing w:after="0" w:line="240" w:lineRule="auto"/>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C32EC0">
            <w:pPr>
              <w:spacing w:after="0" w:line="240" w:lineRule="auto"/>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C32EC0">
      <w:pPr>
        <w:spacing w:after="0" w:line="240" w:lineRule="auto"/>
        <w:jc w:val="center"/>
        <w:rPr>
          <w:b/>
          <w:sz w:val="32"/>
          <w:szCs w:val="32"/>
        </w:rPr>
      </w:pPr>
    </w:p>
    <w:sectPr w:rsidR="009F5421" w:rsidRPr="00925659" w:rsidSect="004D0729">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D2B8" w14:textId="77777777" w:rsidR="00D44507" w:rsidRDefault="00D44507" w:rsidP="00B81990">
      <w:pPr>
        <w:spacing w:after="0" w:line="240" w:lineRule="auto"/>
      </w:pPr>
      <w:r>
        <w:separator/>
      </w:r>
    </w:p>
  </w:endnote>
  <w:endnote w:type="continuationSeparator" w:id="0">
    <w:p w14:paraId="6FC08FC9" w14:textId="77777777" w:rsidR="00D44507" w:rsidRDefault="00D44507"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1B80F40B"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7953E9">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C9E89" w14:textId="77777777" w:rsidR="00D44507" w:rsidRDefault="00D44507" w:rsidP="00B81990">
      <w:pPr>
        <w:spacing w:after="0" w:line="240" w:lineRule="auto"/>
      </w:pPr>
      <w:r>
        <w:separator/>
      </w:r>
    </w:p>
  </w:footnote>
  <w:footnote w:type="continuationSeparator" w:id="0">
    <w:p w14:paraId="36701E0C" w14:textId="77777777" w:rsidR="00D44507" w:rsidRDefault="00D44507" w:rsidP="00B81990">
      <w:pPr>
        <w:spacing w:after="0" w:line="240" w:lineRule="auto"/>
      </w:pPr>
      <w:r>
        <w:continuationSeparator/>
      </w:r>
    </w:p>
  </w:footnote>
  <w:footnote w:id="1">
    <w:p w14:paraId="71099687" w14:textId="055AD208" w:rsidR="00727C41" w:rsidRPr="00727F1A" w:rsidRDefault="00727C41" w:rsidP="00727C41">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r>
        <w:rPr>
          <w:rFonts w:ascii="Times New Roman" w:hAnsi="Times New Roman" w:cs="Times New Roman"/>
          <w:sz w:val="20"/>
          <w:szCs w:val="20"/>
        </w:rPr>
        <w:t xml:space="preserve"> </w:t>
      </w:r>
      <w:r w:rsidR="0000342E">
        <w:rPr>
          <w:rFonts w:ascii="Times New Roman" w:hAnsi="Times New Roman" w:cs="Times New Roman"/>
          <w:sz w:val="20"/>
          <w:szCs w:val="20"/>
        </w:rPr>
        <w:t>Data o</w:t>
      </w:r>
      <w:r w:rsidR="00906256">
        <w:rPr>
          <w:rFonts w:ascii="Times New Roman" w:hAnsi="Times New Roman" w:cs="Times New Roman"/>
          <w:sz w:val="20"/>
          <w:szCs w:val="20"/>
        </w:rPr>
        <w:t>f</w:t>
      </w:r>
      <w:r w:rsidR="0000342E">
        <w:rPr>
          <w:rFonts w:ascii="Times New Roman" w:hAnsi="Times New Roman" w:cs="Times New Roman"/>
          <w:sz w:val="20"/>
          <w:szCs w:val="20"/>
        </w:rPr>
        <w:t xml:space="preserve"> perception</w:t>
      </w:r>
      <w:r w:rsidR="00E96963">
        <w:rPr>
          <w:rFonts w:ascii="Times New Roman" w:hAnsi="Times New Roman" w:cs="Times New Roman"/>
          <w:sz w:val="20"/>
          <w:szCs w:val="20"/>
        </w:rPr>
        <w:t>s</w:t>
      </w:r>
      <w:r w:rsidR="0000342E">
        <w:rPr>
          <w:rFonts w:ascii="Times New Roman" w:hAnsi="Times New Roman" w:cs="Times New Roman"/>
          <w:sz w:val="20"/>
          <w:szCs w:val="20"/>
        </w:rPr>
        <w:t xml:space="preserve"> on sales</w:t>
      </w:r>
      <w:r w:rsidR="00360695">
        <w:rPr>
          <w:rFonts w:ascii="Times New Roman" w:hAnsi="Times New Roman" w:cs="Times New Roman"/>
          <w:sz w:val="20"/>
          <w:szCs w:val="20"/>
        </w:rPr>
        <w:t xml:space="preserve"> and profit</w:t>
      </w:r>
      <w:r w:rsidR="0000342E">
        <w:rPr>
          <w:rFonts w:ascii="Times New Roman" w:hAnsi="Times New Roman" w:cs="Times New Roman"/>
          <w:sz w:val="20"/>
          <w:szCs w:val="20"/>
        </w:rPr>
        <w:t xml:space="preserve"> is not available for April 2020. </w:t>
      </w:r>
    </w:p>
    <w:p w14:paraId="17E0B919" w14:textId="77777777" w:rsidR="00727C41" w:rsidRDefault="00727C41" w:rsidP="00727C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32A58644"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57"/>
    <w:rsid w:val="00000209"/>
    <w:rsid w:val="0000342E"/>
    <w:rsid w:val="00013CAF"/>
    <w:rsid w:val="0001471A"/>
    <w:rsid w:val="00015185"/>
    <w:rsid w:val="00015A8B"/>
    <w:rsid w:val="00021AB1"/>
    <w:rsid w:val="00025620"/>
    <w:rsid w:val="00026033"/>
    <w:rsid w:val="000302BE"/>
    <w:rsid w:val="00031DFE"/>
    <w:rsid w:val="00034A5A"/>
    <w:rsid w:val="00037176"/>
    <w:rsid w:val="0004003F"/>
    <w:rsid w:val="00053843"/>
    <w:rsid w:val="00060619"/>
    <w:rsid w:val="000628D6"/>
    <w:rsid w:val="00065202"/>
    <w:rsid w:val="00065EDD"/>
    <w:rsid w:val="000679C4"/>
    <w:rsid w:val="000701A1"/>
    <w:rsid w:val="000716F4"/>
    <w:rsid w:val="00084082"/>
    <w:rsid w:val="000872BA"/>
    <w:rsid w:val="00092DB4"/>
    <w:rsid w:val="00093B14"/>
    <w:rsid w:val="00097167"/>
    <w:rsid w:val="0009761D"/>
    <w:rsid w:val="000A10BC"/>
    <w:rsid w:val="000A1926"/>
    <w:rsid w:val="000A6FCF"/>
    <w:rsid w:val="000B078A"/>
    <w:rsid w:val="000B340F"/>
    <w:rsid w:val="000B3470"/>
    <w:rsid w:val="000B3F00"/>
    <w:rsid w:val="000B5383"/>
    <w:rsid w:val="000C390A"/>
    <w:rsid w:val="000D0B24"/>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5390"/>
    <w:rsid w:val="002B6ADE"/>
    <w:rsid w:val="002B7535"/>
    <w:rsid w:val="002B7A19"/>
    <w:rsid w:val="002B7C03"/>
    <w:rsid w:val="002B7E20"/>
    <w:rsid w:val="002C4B55"/>
    <w:rsid w:val="002C552F"/>
    <w:rsid w:val="002C7882"/>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3A7"/>
    <w:rsid w:val="003267C1"/>
    <w:rsid w:val="003268A4"/>
    <w:rsid w:val="00332D92"/>
    <w:rsid w:val="003352DA"/>
    <w:rsid w:val="00337620"/>
    <w:rsid w:val="00337BA5"/>
    <w:rsid w:val="00340C14"/>
    <w:rsid w:val="00343E59"/>
    <w:rsid w:val="003510A7"/>
    <w:rsid w:val="00351891"/>
    <w:rsid w:val="0035640B"/>
    <w:rsid w:val="00360057"/>
    <w:rsid w:val="00360695"/>
    <w:rsid w:val="003705BC"/>
    <w:rsid w:val="00370881"/>
    <w:rsid w:val="00371173"/>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C0A84"/>
    <w:rsid w:val="003C3FD2"/>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6A1"/>
    <w:rsid w:val="00413A4E"/>
    <w:rsid w:val="00413AF7"/>
    <w:rsid w:val="0041454F"/>
    <w:rsid w:val="00417300"/>
    <w:rsid w:val="00417A15"/>
    <w:rsid w:val="004205F5"/>
    <w:rsid w:val="004239D7"/>
    <w:rsid w:val="00423FE2"/>
    <w:rsid w:val="00424D9F"/>
    <w:rsid w:val="0042510F"/>
    <w:rsid w:val="00431952"/>
    <w:rsid w:val="00432020"/>
    <w:rsid w:val="00433F9F"/>
    <w:rsid w:val="00435AC3"/>
    <w:rsid w:val="00436CA1"/>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0729"/>
    <w:rsid w:val="004D357B"/>
    <w:rsid w:val="004D521F"/>
    <w:rsid w:val="004D785F"/>
    <w:rsid w:val="004E45A6"/>
    <w:rsid w:val="004E7722"/>
    <w:rsid w:val="004F099C"/>
    <w:rsid w:val="004F1230"/>
    <w:rsid w:val="004F39F6"/>
    <w:rsid w:val="004F42CF"/>
    <w:rsid w:val="00502A3B"/>
    <w:rsid w:val="00507D28"/>
    <w:rsid w:val="005231C1"/>
    <w:rsid w:val="0052567E"/>
    <w:rsid w:val="00526FE8"/>
    <w:rsid w:val="00531C53"/>
    <w:rsid w:val="005358D3"/>
    <w:rsid w:val="00537192"/>
    <w:rsid w:val="00540961"/>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180D"/>
    <w:rsid w:val="005D4584"/>
    <w:rsid w:val="005D60C2"/>
    <w:rsid w:val="005E0BFA"/>
    <w:rsid w:val="005E28DD"/>
    <w:rsid w:val="005E2B79"/>
    <w:rsid w:val="005E3E89"/>
    <w:rsid w:val="005E60AE"/>
    <w:rsid w:val="005E6503"/>
    <w:rsid w:val="005E76EC"/>
    <w:rsid w:val="005F12A3"/>
    <w:rsid w:val="005F1E36"/>
    <w:rsid w:val="005F50CA"/>
    <w:rsid w:val="005F5FD8"/>
    <w:rsid w:val="005F641E"/>
    <w:rsid w:val="0060634C"/>
    <w:rsid w:val="00607937"/>
    <w:rsid w:val="00611AFF"/>
    <w:rsid w:val="0061399F"/>
    <w:rsid w:val="00615F65"/>
    <w:rsid w:val="00616F2B"/>
    <w:rsid w:val="00620DEE"/>
    <w:rsid w:val="00623D39"/>
    <w:rsid w:val="00632747"/>
    <w:rsid w:val="006375AE"/>
    <w:rsid w:val="00637E4F"/>
    <w:rsid w:val="006402AF"/>
    <w:rsid w:val="006420D4"/>
    <w:rsid w:val="00642A22"/>
    <w:rsid w:val="0064464F"/>
    <w:rsid w:val="00647B5F"/>
    <w:rsid w:val="00653DAB"/>
    <w:rsid w:val="006543F0"/>
    <w:rsid w:val="00654ABC"/>
    <w:rsid w:val="00655AF8"/>
    <w:rsid w:val="00655B50"/>
    <w:rsid w:val="00677730"/>
    <w:rsid w:val="006819F0"/>
    <w:rsid w:val="00681E4B"/>
    <w:rsid w:val="006830D3"/>
    <w:rsid w:val="00684F6A"/>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C41"/>
    <w:rsid w:val="00727E39"/>
    <w:rsid w:val="00727F1A"/>
    <w:rsid w:val="00733A24"/>
    <w:rsid w:val="00737C5B"/>
    <w:rsid w:val="007408B3"/>
    <w:rsid w:val="00741F1A"/>
    <w:rsid w:val="007460CF"/>
    <w:rsid w:val="007471A8"/>
    <w:rsid w:val="00751794"/>
    <w:rsid w:val="00755B0C"/>
    <w:rsid w:val="00756E56"/>
    <w:rsid w:val="00760A14"/>
    <w:rsid w:val="00761A31"/>
    <w:rsid w:val="00762EAF"/>
    <w:rsid w:val="00763302"/>
    <w:rsid w:val="00764DD5"/>
    <w:rsid w:val="00764EB1"/>
    <w:rsid w:val="00775DAE"/>
    <w:rsid w:val="00775F7E"/>
    <w:rsid w:val="00776579"/>
    <w:rsid w:val="00777318"/>
    <w:rsid w:val="00777433"/>
    <w:rsid w:val="00780013"/>
    <w:rsid w:val="007822A5"/>
    <w:rsid w:val="00782B0B"/>
    <w:rsid w:val="007914B6"/>
    <w:rsid w:val="00791854"/>
    <w:rsid w:val="0079288E"/>
    <w:rsid w:val="00793929"/>
    <w:rsid w:val="007953E9"/>
    <w:rsid w:val="00796AC9"/>
    <w:rsid w:val="00796D1B"/>
    <w:rsid w:val="007A5CD7"/>
    <w:rsid w:val="007A72E2"/>
    <w:rsid w:val="007A7723"/>
    <w:rsid w:val="007B1A23"/>
    <w:rsid w:val="007B1C01"/>
    <w:rsid w:val="007B77E8"/>
    <w:rsid w:val="007C300C"/>
    <w:rsid w:val="007C54B8"/>
    <w:rsid w:val="007C62BA"/>
    <w:rsid w:val="007C6EE8"/>
    <w:rsid w:val="007C751C"/>
    <w:rsid w:val="007C7C8C"/>
    <w:rsid w:val="007D0219"/>
    <w:rsid w:val="007D147A"/>
    <w:rsid w:val="007D3B9A"/>
    <w:rsid w:val="007D4B5C"/>
    <w:rsid w:val="007E00F8"/>
    <w:rsid w:val="007E3079"/>
    <w:rsid w:val="007E34C7"/>
    <w:rsid w:val="007E358E"/>
    <w:rsid w:val="007E4CCC"/>
    <w:rsid w:val="007E56D7"/>
    <w:rsid w:val="007E6DB3"/>
    <w:rsid w:val="007F043E"/>
    <w:rsid w:val="007F3947"/>
    <w:rsid w:val="007F71B0"/>
    <w:rsid w:val="007F7EB5"/>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2C2C"/>
    <w:rsid w:val="0085584D"/>
    <w:rsid w:val="00860E1B"/>
    <w:rsid w:val="00866C92"/>
    <w:rsid w:val="008676A2"/>
    <w:rsid w:val="0086778C"/>
    <w:rsid w:val="00873384"/>
    <w:rsid w:val="00881AF0"/>
    <w:rsid w:val="00882A52"/>
    <w:rsid w:val="008859D8"/>
    <w:rsid w:val="00885DC8"/>
    <w:rsid w:val="00892431"/>
    <w:rsid w:val="008924DF"/>
    <w:rsid w:val="00894320"/>
    <w:rsid w:val="008975DD"/>
    <w:rsid w:val="008A019B"/>
    <w:rsid w:val="008A3A87"/>
    <w:rsid w:val="008B606E"/>
    <w:rsid w:val="008B6EB4"/>
    <w:rsid w:val="008B7D3F"/>
    <w:rsid w:val="008C1D6F"/>
    <w:rsid w:val="008D4140"/>
    <w:rsid w:val="008D53AF"/>
    <w:rsid w:val="008D63AC"/>
    <w:rsid w:val="008D6D83"/>
    <w:rsid w:val="008E3537"/>
    <w:rsid w:val="008E3EB5"/>
    <w:rsid w:val="008E567C"/>
    <w:rsid w:val="008E6F9A"/>
    <w:rsid w:val="008E7685"/>
    <w:rsid w:val="008F0ABC"/>
    <w:rsid w:val="008F1F2D"/>
    <w:rsid w:val="008F2A57"/>
    <w:rsid w:val="008F583E"/>
    <w:rsid w:val="009002A7"/>
    <w:rsid w:val="00901FA2"/>
    <w:rsid w:val="0090345B"/>
    <w:rsid w:val="00906256"/>
    <w:rsid w:val="00907B2A"/>
    <w:rsid w:val="009115E9"/>
    <w:rsid w:val="00911FB2"/>
    <w:rsid w:val="009133FE"/>
    <w:rsid w:val="0091559F"/>
    <w:rsid w:val="009174E4"/>
    <w:rsid w:val="00925659"/>
    <w:rsid w:val="00927A52"/>
    <w:rsid w:val="00930466"/>
    <w:rsid w:val="0093664C"/>
    <w:rsid w:val="00943D62"/>
    <w:rsid w:val="00946987"/>
    <w:rsid w:val="00947534"/>
    <w:rsid w:val="00951AF6"/>
    <w:rsid w:val="00954274"/>
    <w:rsid w:val="00954378"/>
    <w:rsid w:val="00960C40"/>
    <w:rsid w:val="00961726"/>
    <w:rsid w:val="00962678"/>
    <w:rsid w:val="00976C79"/>
    <w:rsid w:val="0098116E"/>
    <w:rsid w:val="00983786"/>
    <w:rsid w:val="009872D1"/>
    <w:rsid w:val="00987EDE"/>
    <w:rsid w:val="00991B26"/>
    <w:rsid w:val="00995A22"/>
    <w:rsid w:val="00996B6D"/>
    <w:rsid w:val="009A17DB"/>
    <w:rsid w:val="009B4441"/>
    <w:rsid w:val="009B5ECF"/>
    <w:rsid w:val="009C41A3"/>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16BE6"/>
    <w:rsid w:val="00A23CB7"/>
    <w:rsid w:val="00A2474D"/>
    <w:rsid w:val="00A24BBB"/>
    <w:rsid w:val="00A3041F"/>
    <w:rsid w:val="00A31435"/>
    <w:rsid w:val="00A3270F"/>
    <w:rsid w:val="00A35195"/>
    <w:rsid w:val="00A367C0"/>
    <w:rsid w:val="00A37728"/>
    <w:rsid w:val="00A409BA"/>
    <w:rsid w:val="00A42432"/>
    <w:rsid w:val="00A44EBC"/>
    <w:rsid w:val="00A45FCF"/>
    <w:rsid w:val="00A47F48"/>
    <w:rsid w:val="00A60774"/>
    <w:rsid w:val="00A625F5"/>
    <w:rsid w:val="00A67C11"/>
    <w:rsid w:val="00A706CF"/>
    <w:rsid w:val="00A72F20"/>
    <w:rsid w:val="00A74867"/>
    <w:rsid w:val="00A80993"/>
    <w:rsid w:val="00A81314"/>
    <w:rsid w:val="00A93D2E"/>
    <w:rsid w:val="00A95C0D"/>
    <w:rsid w:val="00A963FC"/>
    <w:rsid w:val="00AA427B"/>
    <w:rsid w:val="00AA4EBB"/>
    <w:rsid w:val="00AA63A1"/>
    <w:rsid w:val="00AB07F1"/>
    <w:rsid w:val="00AB1899"/>
    <w:rsid w:val="00AB496C"/>
    <w:rsid w:val="00AB7A45"/>
    <w:rsid w:val="00AC6C7C"/>
    <w:rsid w:val="00AD0751"/>
    <w:rsid w:val="00AD6B64"/>
    <w:rsid w:val="00AE5FF5"/>
    <w:rsid w:val="00AE7F0F"/>
    <w:rsid w:val="00AF1BF3"/>
    <w:rsid w:val="00AF3DDC"/>
    <w:rsid w:val="00AF7A26"/>
    <w:rsid w:val="00B00CB3"/>
    <w:rsid w:val="00B06244"/>
    <w:rsid w:val="00B063D4"/>
    <w:rsid w:val="00B103AE"/>
    <w:rsid w:val="00B10A5C"/>
    <w:rsid w:val="00B10E39"/>
    <w:rsid w:val="00B129FC"/>
    <w:rsid w:val="00B12CC7"/>
    <w:rsid w:val="00B169DF"/>
    <w:rsid w:val="00B200A7"/>
    <w:rsid w:val="00B215BA"/>
    <w:rsid w:val="00B2227F"/>
    <w:rsid w:val="00B25477"/>
    <w:rsid w:val="00B32121"/>
    <w:rsid w:val="00B40A55"/>
    <w:rsid w:val="00B41EF3"/>
    <w:rsid w:val="00B41FD1"/>
    <w:rsid w:val="00B4405A"/>
    <w:rsid w:val="00B468BD"/>
    <w:rsid w:val="00B51229"/>
    <w:rsid w:val="00B51681"/>
    <w:rsid w:val="00B5663F"/>
    <w:rsid w:val="00B6059C"/>
    <w:rsid w:val="00B60CD1"/>
    <w:rsid w:val="00B61481"/>
    <w:rsid w:val="00B6165E"/>
    <w:rsid w:val="00B66E50"/>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1D9"/>
    <w:rsid w:val="00BA1E11"/>
    <w:rsid w:val="00BA3708"/>
    <w:rsid w:val="00BA708D"/>
    <w:rsid w:val="00BB2EDA"/>
    <w:rsid w:val="00BC20B5"/>
    <w:rsid w:val="00BC31B3"/>
    <w:rsid w:val="00BD4062"/>
    <w:rsid w:val="00BE1008"/>
    <w:rsid w:val="00BE1F25"/>
    <w:rsid w:val="00BE33D4"/>
    <w:rsid w:val="00BF4906"/>
    <w:rsid w:val="00BF61A4"/>
    <w:rsid w:val="00BF74CB"/>
    <w:rsid w:val="00C04AE6"/>
    <w:rsid w:val="00C14124"/>
    <w:rsid w:val="00C1670B"/>
    <w:rsid w:val="00C22C21"/>
    <w:rsid w:val="00C25290"/>
    <w:rsid w:val="00C2619B"/>
    <w:rsid w:val="00C27EC1"/>
    <w:rsid w:val="00C31736"/>
    <w:rsid w:val="00C32EC0"/>
    <w:rsid w:val="00C33531"/>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5CAB"/>
    <w:rsid w:val="00C96087"/>
    <w:rsid w:val="00C96B58"/>
    <w:rsid w:val="00C96C66"/>
    <w:rsid w:val="00CA0366"/>
    <w:rsid w:val="00CA0452"/>
    <w:rsid w:val="00CA2329"/>
    <w:rsid w:val="00CA603B"/>
    <w:rsid w:val="00CB062C"/>
    <w:rsid w:val="00CB3CF1"/>
    <w:rsid w:val="00CB4C04"/>
    <w:rsid w:val="00CB54EB"/>
    <w:rsid w:val="00CB5FEC"/>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336"/>
    <w:rsid w:val="00D005C5"/>
    <w:rsid w:val="00D010FE"/>
    <w:rsid w:val="00D02C8B"/>
    <w:rsid w:val="00D0385E"/>
    <w:rsid w:val="00D10FE5"/>
    <w:rsid w:val="00D11372"/>
    <w:rsid w:val="00D12D55"/>
    <w:rsid w:val="00D1761A"/>
    <w:rsid w:val="00D20770"/>
    <w:rsid w:val="00D22274"/>
    <w:rsid w:val="00D230FA"/>
    <w:rsid w:val="00D243AE"/>
    <w:rsid w:val="00D30231"/>
    <w:rsid w:val="00D308FA"/>
    <w:rsid w:val="00D3337A"/>
    <w:rsid w:val="00D35086"/>
    <w:rsid w:val="00D353B5"/>
    <w:rsid w:val="00D367DD"/>
    <w:rsid w:val="00D40035"/>
    <w:rsid w:val="00D40FCB"/>
    <w:rsid w:val="00D4286A"/>
    <w:rsid w:val="00D42893"/>
    <w:rsid w:val="00D44507"/>
    <w:rsid w:val="00D51305"/>
    <w:rsid w:val="00D6526A"/>
    <w:rsid w:val="00D666DA"/>
    <w:rsid w:val="00D80892"/>
    <w:rsid w:val="00D836A4"/>
    <w:rsid w:val="00D84D83"/>
    <w:rsid w:val="00D86324"/>
    <w:rsid w:val="00D86FBB"/>
    <w:rsid w:val="00D925B4"/>
    <w:rsid w:val="00D94524"/>
    <w:rsid w:val="00D969A2"/>
    <w:rsid w:val="00DA5475"/>
    <w:rsid w:val="00DA5CEE"/>
    <w:rsid w:val="00DA7B90"/>
    <w:rsid w:val="00DB00CF"/>
    <w:rsid w:val="00DB27C4"/>
    <w:rsid w:val="00DB3B95"/>
    <w:rsid w:val="00DB6503"/>
    <w:rsid w:val="00DB6736"/>
    <w:rsid w:val="00DC0290"/>
    <w:rsid w:val="00DC1400"/>
    <w:rsid w:val="00DC3C63"/>
    <w:rsid w:val="00DC6FF1"/>
    <w:rsid w:val="00DC7809"/>
    <w:rsid w:val="00DD2341"/>
    <w:rsid w:val="00DD3E9B"/>
    <w:rsid w:val="00DD517A"/>
    <w:rsid w:val="00DD58D7"/>
    <w:rsid w:val="00DE3769"/>
    <w:rsid w:val="00DE4CA8"/>
    <w:rsid w:val="00DE57C4"/>
    <w:rsid w:val="00DE639D"/>
    <w:rsid w:val="00DE77D9"/>
    <w:rsid w:val="00DF1342"/>
    <w:rsid w:val="00DF1CBE"/>
    <w:rsid w:val="00DF47BA"/>
    <w:rsid w:val="00E0056C"/>
    <w:rsid w:val="00E05849"/>
    <w:rsid w:val="00E05EDE"/>
    <w:rsid w:val="00E14ED2"/>
    <w:rsid w:val="00E203F6"/>
    <w:rsid w:val="00E22CE6"/>
    <w:rsid w:val="00E30AF0"/>
    <w:rsid w:val="00E30D4C"/>
    <w:rsid w:val="00E328CB"/>
    <w:rsid w:val="00E33FBC"/>
    <w:rsid w:val="00E34950"/>
    <w:rsid w:val="00E368B6"/>
    <w:rsid w:val="00E4231D"/>
    <w:rsid w:val="00E44457"/>
    <w:rsid w:val="00E44BBB"/>
    <w:rsid w:val="00E502B5"/>
    <w:rsid w:val="00E50780"/>
    <w:rsid w:val="00E5268F"/>
    <w:rsid w:val="00E530C0"/>
    <w:rsid w:val="00E57396"/>
    <w:rsid w:val="00E61745"/>
    <w:rsid w:val="00E61859"/>
    <w:rsid w:val="00E6236E"/>
    <w:rsid w:val="00E645D1"/>
    <w:rsid w:val="00E66762"/>
    <w:rsid w:val="00E67F87"/>
    <w:rsid w:val="00E73806"/>
    <w:rsid w:val="00E757F1"/>
    <w:rsid w:val="00E80133"/>
    <w:rsid w:val="00E80495"/>
    <w:rsid w:val="00E8126B"/>
    <w:rsid w:val="00E834E5"/>
    <w:rsid w:val="00E914D9"/>
    <w:rsid w:val="00E9356D"/>
    <w:rsid w:val="00E953FD"/>
    <w:rsid w:val="00E96963"/>
    <w:rsid w:val="00EA1765"/>
    <w:rsid w:val="00EA264B"/>
    <w:rsid w:val="00EA367A"/>
    <w:rsid w:val="00EA5602"/>
    <w:rsid w:val="00EA79D4"/>
    <w:rsid w:val="00EB118F"/>
    <w:rsid w:val="00EB1D74"/>
    <w:rsid w:val="00EB7978"/>
    <w:rsid w:val="00EC19F6"/>
    <w:rsid w:val="00EC71C1"/>
    <w:rsid w:val="00ED00BB"/>
    <w:rsid w:val="00ED330C"/>
    <w:rsid w:val="00ED5E8A"/>
    <w:rsid w:val="00ED713A"/>
    <w:rsid w:val="00ED79C5"/>
    <w:rsid w:val="00EE5D40"/>
    <w:rsid w:val="00EE752F"/>
    <w:rsid w:val="00EF02FA"/>
    <w:rsid w:val="00EF08B1"/>
    <w:rsid w:val="00EF66A2"/>
    <w:rsid w:val="00EF6A28"/>
    <w:rsid w:val="00EF764C"/>
    <w:rsid w:val="00F029BC"/>
    <w:rsid w:val="00F04669"/>
    <w:rsid w:val="00F046DB"/>
    <w:rsid w:val="00F12C4C"/>
    <w:rsid w:val="00F16949"/>
    <w:rsid w:val="00F17555"/>
    <w:rsid w:val="00F36E01"/>
    <w:rsid w:val="00F37B99"/>
    <w:rsid w:val="00F412C2"/>
    <w:rsid w:val="00F503C6"/>
    <w:rsid w:val="00F51B2F"/>
    <w:rsid w:val="00F54740"/>
    <w:rsid w:val="00F55006"/>
    <w:rsid w:val="00F6194A"/>
    <w:rsid w:val="00F62E1D"/>
    <w:rsid w:val="00F64ED0"/>
    <w:rsid w:val="00F66519"/>
    <w:rsid w:val="00F7154C"/>
    <w:rsid w:val="00F71D94"/>
    <w:rsid w:val="00F728A6"/>
    <w:rsid w:val="00F765CE"/>
    <w:rsid w:val="00F87A41"/>
    <w:rsid w:val="00F901EF"/>
    <w:rsid w:val="00F925D1"/>
    <w:rsid w:val="00F97518"/>
    <w:rsid w:val="00FA0360"/>
    <w:rsid w:val="00FA155C"/>
    <w:rsid w:val="00FA1F47"/>
    <w:rsid w:val="00FA2612"/>
    <w:rsid w:val="00FA779C"/>
    <w:rsid w:val="00FB0111"/>
    <w:rsid w:val="00FB0E04"/>
    <w:rsid w:val="00FB325F"/>
    <w:rsid w:val="00FB3733"/>
    <w:rsid w:val="00FB7769"/>
    <w:rsid w:val="00FC0DDB"/>
    <w:rsid w:val="00FC49EB"/>
    <w:rsid w:val="00FC5739"/>
    <w:rsid w:val="00FD534D"/>
    <w:rsid w:val="00FD6696"/>
    <w:rsid w:val="00FE215D"/>
    <w:rsid w:val="00FE5647"/>
    <w:rsid w:val="00FF3065"/>
    <w:rsid w:val="00FF53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CommentReference">
    <w:name w:val="annotation reference"/>
    <w:basedOn w:val="DefaultParagraphFont"/>
    <w:uiPriority w:val="99"/>
    <w:semiHidden/>
    <w:unhideWhenUsed/>
    <w:rsid w:val="00EB1D74"/>
    <w:rPr>
      <w:sz w:val="16"/>
      <w:szCs w:val="16"/>
    </w:rPr>
  </w:style>
  <w:style w:type="paragraph" w:styleId="CommentText">
    <w:name w:val="annotation text"/>
    <w:basedOn w:val="Normal"/>
    <w:link w:val="CommentTextChar"/>
    <w:uiPriority w:val="99"/>
    <w:semiHidden/>
    <w:unhideWhenUsed/>
    <w:rsid w:val="00EB1D74"/>
    <w:pPr>
      <w:spacing w:line="240" w:lineRule="auto"/>
    </w:pPr>
    <w:rPr>
      <w:sz w:val="20"/>
      <w:szCs w:val="20"/>
    </w:rPr>
  </w:style>
  <w:style w:type="character" w:customStyle="1" w:styleId="CommentTextChar">
    <w:name w:val="Comment Text Char"/>
    <w:basedOn w:val="DefaultParagraphFont"/>
    <w:link w:val="CommentText"/>
    <w:uiPriority w:val="99"/>
    <w:semiHidden/>
    <w:rsid w:val="00EB1D74"/>
    <w:rPr>
      <w:sz w:val="20"/>
      <w:szCs w:val="20"/>
      <w:lang w:val="en-IN"/>
    </w:rPr>
  </w:style>
  <w:style w:type="paragraph" w:styleId="CommentSubject">
    <w:name w:val="annotation subject"/>
    <w:basedOn w:val="CommentText"/>
    <w:next w:val="CommentText"/>
    <w:link w:val="CommentSubjectChar"/>
    <w:uiPriority w:val="99"/>
    <w:semiHidden/>
    <w:unhideWhenUsed/>
    <w:rsid w:val="00EB1D74"/>
    <w:rPr>
      <w:b/>
      <w:bCs/>
    </w:rPr>
  </w:style>
  <w:style w:type="character" w:customStyle="1" w:styleId="CommentSubjectChar">
    <w:name w:val="Comment Subject Char"/>
    <w:basedOn w:val="CommentTextChar"/>
    <w:link w:val="CommentSubject"/>
    <w:uiPriority w:val="99"/>
    <w:semiHidden/>
    <w:rsid w:val="00EB1D74"/>
    <w:rPr>
      <w:b/>
      <w:bCs/>
      <w:sz w:val="20"/>
      <w:szCs w:val="20"/>
      <w:lang w:val="en-IN"/>
    </w:rPr>
  </w:style>
  <w:style w:type="character" w:styleId="Hyperlink">
    <w:name w:val="Hyperlink"/>
    <w:basedOn w:val="DefaultParagraphFont"/>
    <w:uiPriority w:val="99"/>
    <w:semiHidden/>
    <w:unhideWhenUsed/>
    <w:rsid w:val="004D0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im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June%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June%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Jun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Jun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Sheet1!$D$26:$D$63</c:f>
              <c:numCache>
                <c:formatCode>mmm\-yy</c:formatCode>
                <c:ptCount val="38"/>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numCache>
            </c:numRef>
          </c:cat>
          <c:val>
            <c:numRef>
              <c:f>Sheet1!$E$26:$E$63</c:f>
              <c:numCache>
                <c:formatCode>0.00</c:formatCode>
                <c:ptCount val="38"/>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pt idx="33">
                  <c:v>3.8548499999999999</c:v>
                </c:pt>
                <c:pt idx="34">
                  <c:v>4.5679499999999997</c:v>
                </c:pt>
                <c:pt idx="35">
                  <c:v>4.3667999999999996</c:v>
                </c:pt>
                <c:pt idx="36">
                  <c:v>4.2384499999999994</c:v>
                </c:pt>
                <c:pt idx="37">
                  <c:v>4.1213499999999996</c:v>
                </c:pt>
              </c:numCache>
            </c:numRef>
          </c:val>
          <c:smooth val="0"/>
          <c:extLst>
            <c:ext xmlns:c16="http://schemas.microsoft.com/office/drawing/2014/chart" uri="{C3380CC4-5D6E-409C-BE32-E72D297353CC}">
              <c16:uniqueId val="{00000000-8AD4-43AF-8099-328DE88BCE40}"/>
            </c:ext>
          </c:extLst>
        </c:ser>
        <c:ser>
          <c:idx val="2"/>
          <c:order val="1"/>
          <c:spPr>
            <a:ln w="31750">
              <a:solidFill>
                <a:srgbClr val="00B050"/>
              </a:solidFill>
              <a:prstDash val="sysDash"/>
            </a:ln>
          </c:spPr>
          <c:marker>
            <c:symbol val="none"/>
          </c:marker>
          <c:cat>
            <c:numRef>
              <c:f>Sheet1!$D$26:$D$63</c:f>
              <c:numCache>
                <c:formatCode>mmm\-yy</c:formatCode>
                <c:ptCount val="38"/>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pt idx="34">
                  <c:v>43891</c:v>
                </c:pt>
                <c:pt idx="35">
                  <c:v>43922</c:v>
                </c:pt>
                <c:pt idx="36">
                  <c:v>43952</c:v>
                </c:pt>
                <c:pt idx="37">
                  <c:v>43983</c:v>
                </c:pt>
              </c:numCache>
            </c:numRef>
          </c:cat>
          <c:val>
            <c:numRef>
              <c:f>Sheet1!#REF!</c:f>
              <c:numCache>
                <c:formatCode>General</c:formatCode>
                <c:ptCount val="1"/>
                <c:pt idx="0">
                  <c:v>1</c:v>
                </c:pt>
              </c:numCache>
            </c:numRef>
          </c:val>
          <c:smooth val="0"/>
          <c:extLst>
            <c:ext xmlns:c16="http://schemas.microsoft.com/office/drawing/2014/chart" uri="{C3380CC4-5D6E-409C-BE32-E72D297353CC}">
              <c16:uniqueId val="{00000001-8AD4-43AF-8099-328DE88BCE40}"/>
            </c:ext>
          </c:extLst>
        </c:ser>
        <c:dLbls>
          <c:showLegendKey val="0"/>
          <c:showVal val="0"/>
          <c:showCatName val="0"/>
          <c:showSerName val="0"/>
          <c:showPercent val="0"/>
          <c:showBubbleSize val="0"/>
        </c:dLbls>
        <c:smooth val="0"/>
        <c:axId val="229593728"/>
        <c:axId val="229590200"/>
      </c:lineChart>
      <c:dateAx>
        <c:axId val="22959372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29590200"/>
        <c:crosses val="autoZero"/>
        <c:auto val="1"/>
        <c:lblOffset val="100"/>
        <c:baseTimeUnit val="months"/>
        <c:majorUnit val="1"/>
        <c:majorTimeUnit val="months"/>
      </c:dateAx>
      <c:valAx>
        <c:axId val="22959020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229593728"/>
        <c:crosses val="autoZero"/>
        <c:crossBetween val="between"/>
        <c:majorUnit val="1"/>
        <c:minorUnit val="0.5"/>
      </c:valAx>
    </c:plotArea>
    <c:plotVisOnly val="1"/>
    <c:dispBlanksAs val="gap"/>
    <c:showDLblsOverMax val="0"/>
  </c:chart>
  <c:spPr>
    <a:ln w="15875">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Question3!$AJ$3</c:f>
              <c:strCache>
                <c:ptCount val="1"/>
                <c:pt idx="0">
                  <c:v>Mar-20</c:v>
                </c:pt>
              </c:strCache>
            </c:strRef>
          </c:tx>
          <c:invertIfNegative val="0"/>
          <c:dLbls>
            <c:dLbl>
              <c:idx val="1"/>
              <c:layout>
                <c:manualLayout>
                  <c:x val="-1.4842300556586271E-2"/>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EA-49E1-B36C-79971F7F12FE}"/>
                </c:ext>
              </c:extLst>
            </c:dLbl>
            <c:dLbl>
              <c:idx val="2"/>
              <c:layout>
                <c:manualLayout>
                  <c:x val="-4.9474335188620907E-3"/>
                  <c:y val="2.8011204481792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EA-49E1-B36C-79971F7F12FE}"/>
                </c:ext>
              </c:extLst>
            </c:dLbl>
            <c:dLbl>
              <c:idx val="3"/>
              <c:layout>
                <c:manualLayout>
                  <c:x val="-1.4842300556586361E-2"/>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EA-49E1-B36C-79971F7F12F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Question3!$AJ$4:$AJ$9</c:f>
              <c:numCache>
                <c:formatCode>0.00%</c:formatCode>
                <c:ptCount val="6"/>
                <c:pt idx="0">
                  <c:v>0.17219999999999999</c:v>
                </c:pt>
                <c:pt idx="1">
                  <c:v>0.1502</c:v>
                </c:pt>
                <c:pt idx="2">
                  <c:v>0.1227</c:v>
                </c:pt>
                <c:pt idx="3">
                  <c:v>0.16850000000000001</c:v>
                </c:pt>
                <c:pt idx="4">
                  <c:v>0.14649999999999999</c:v>
                </c:pt>
                <c:pt idx="5">
                  <c:v>0.2399</c:v>
                </c:pt>
              </c:numCache>
            </c:numRef>
          </c:val>
          <c:extLst>
            <c:ext xmlns:c16="http://schemas.microsoft.com/office/drawing/2014/chart" uri="{C3380CC4-5D6E-409C-BE32-E72D297353CC}">
              <c16:uniqueId val="{00000000-75EA-49E1-B36C-79971F7F12FE}"/>
            </c:ext>
          </c:extLst>
        </c:ser>
        <c:ser>
          <c:idx val="0"/>
          <c:order val="1"/>
          <c:tx>
            <c:strRef>
              <c:f>Question3!$AK$3</c:f>
              <c:strCache>
                <c:ptCount val="1"/>
                <c:pt idx="0">
                  <c:v>Apr-20</c:v>
                </c:pt>
              </c:strCache>
            </c:strRef>
          </c:tx>
          <c:spPr>
            <a:solidFill>
              <a:srgbClr val="002060"/>
            </a:solidFill>
          </c:spPr>
          <c:invertIfNegative val="0"/>
          <c:dLbls>
            <c:dLbl>
              <c:idx val="0"/>
              <c:layout>
                <c:manualLayout>
                  <c:x val="4.9474335188620907E-3"/>
                  <c:y val="1.1204481792717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EA-49E1-B36C-79971F7F12FE}"/>
                </c:ext>
              </c:extLst>
            </c:dLbl>
            <c:dLbl>
              <c:idx val="1"/>
              <c:layout>
                <c:manualLayout>
                  <c:x val="0"/>
                  <c:y val="3.3613445378151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EA-49E1-B36C-79971F7F12FE}"/>
                </c:ext>
              </c:extLst>
            </c:dLbl>
            <c:dLbl>
              <c:idx val="3"/>
              <c:layout>
                <c:manualLayout>
                  <c:x val="-2.4737167594310453E-3"/>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EA-49E1-B36C-79971F7F12FE}"/>
                </c:ext>
              </c:extLst>
            </c:dLbl>
            <c:dLbl>
              <c:idx val="4"/>
              <c:layout>
                <c:manualLayout>
                  <c:x val="-1.23685837971552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5EA-49E1-B36C-79971F7F12F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Question3!$AK$4:$AK$9</c:f>
              <c:numCache>
                <c:formatCode>0.0%</c:formatCode>
                <c:ptCount val="6"/>
                <c:pt idx="0">
                  <c:v>0.15709999999999999</c:v>
                </c:pt>
                <c:pt idx="1">
                  <c:v>0.1429</c:v>
                </c:pt>
                <c:pt idx="2">
                  <c:v>0.1333</c:v>
                </c:pt>
                <c:pt idx="3">
                  <c:v>0.16189999999999999</c:v>
                </c:pt>
                <c:pt idx="4">
                  <c:v>0.1857</c:v>
                </c:pt>
                <c:pt idx="5">
                  <c:v>0.219</c:v>
                </c:pt>
              </c:numCache>
            </c:numRef>
          </c:val>
          <c:extLst>
            <c:ext xmlns:c16="http://schemas.microsoft.com/office/drawing/2014/chart" uri="{C3380CC4-5D6E-409C-BE32-E72D297353CC}">
              <c16:uniqueId val="{00000001-75EA-49E1-B36C-79971F7F12FE}"/>
            </c:ext>
          </c:extLst>
        </c:ser>
        <c:ser>
          <c:idx val="1"/>
          <c:order val="2"/>
          <c:tx>
            <c:strRef>
              <c:f>Question3!$AL$3</c:f>
              <c:strCache>
                <c:ptCount val="1"/>
                <c:pt idx="0">
                  <c:v>May-20</c:v>
                </c:pt>
              </c:strCache>
            </c:strRef>
          </c:tx>
          <c:spPr>
            <a:solidFill>
              <a:srgbClr val="00B050"/>
            </a:solidFill>
          </c:spPr>
          <c:invertIfNegative val="0"/>
          <c:dLbls>
            <c:dLbl>
              <c:idx val="0"/>
              <c:layout>
                <c:manualLayout>
                  <c:x val="1.4842300556586271E-2"/>
                  <c:y val="5.60224089635854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EA-49E1-B36C-79971F7F12FE}"/>
                </c:ext>
              </c:extLst>
            </c:dLbl>
            <c:dLbl>
              <c:idx val="3"/>
              <c:layout>
                <c:manualLayout>
                  <c:x val="0"/>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EA-49E1-B36C-79971F7F12FE}"/>
                </c:ext>
              </c:extLst>
            </c:dLbl>
            <c:dLbl>
              <c:idx val="4"/>
              <c:layout>
                <c:manualLayout>
                  <c:x val="7.4211502782931356E-3"/>
                  <c:y val="5.6022408963584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5EA-49E1-B36C-79971F7F12F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Question3!$AL$4:$AL$9</c:f>
              <c:numCache>
                <c:formatCode>0.0%</c:formatCode>
                <c:ptCount val="6"/>
                <c:pt idx="0">
                  <c:v>0.1484593837535014</c:v>
                </c:pt>
                <c:pt idx="1">
                  <c:v>0.1484593837535014</c:v>
                </c:pt>
                <c:pt idx="2">
                  <c:v>0.16806722689075632</c:v>
                </c:pt>
                <c:pt idx="3">
                  <c:v>0.16246498599439776</c:v>
                </c:pt>
                <c:pt idx="4">
                  <c:v>0.17366946778711484</c:v>
                </c:pt>
                <c:pt idx="5">
                  <c:v>0.19887955182072828</c:v>
                </c:pt>
              </c:numCache>
            </c:numRef>
          </c:val>
          <c:extLst>
            <c:ext xmlns:c16="http://schemas.microsoft.com/office/drawing/2014/chart" uri="{C3380CC4-5D6E-409C-BE32-E72D297353CC}">
              <c16:uniqueId val="{00000002-75EA-49E1-B36C-79971F7F12FE}"/>
            </c:ext>
          </c:extLst>
        </c:ser>
        <c:ser>
          <c:idx val="2"/>
          <c:order val="3"/>
          <c:tx>
            <c:strRef>
              <c:f>Question3!$AM$3</c:f>
              <c:strCache>
                <c:ptCount val="1"/>
                <c:pt idx="0">
                  <c:v>Jun-20</c:v>
                </c:pt>
              </c:strCache>
            </c:strRef>
          </c:tx>
          <c:spPr>
            <a:solidFill>
              <a:srgbClr val="C00000"/>
            </a:solidFill>
          </c:spPr>
          <c:invertIfNegative val="0"/>
          <c:dLbls>
            <c:dLbl>
              <c:idx val="0"/>
              <c:layout>
                <c:manualLayout>
                  <c:x val="7.421150278293113E-3"/>
                  <c:y val="1.1204481792717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EA-49E1-B36C-79971F7F12FE}"/>
                </c:ext>
              </c:extLst>
            </c:dLbl>
            <c:dLbl>
              <c:idx val="2"/>
              <c:layout>
                <c:manualLayout>
                  <c:x val="1.2368583797155226E-2"/>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EA-49E1-B36C-79971F7F12FE}"/>
                </c:ext>
              </c:extLst>
            </c:dLbl>
            <c:dLbl>
              <c:idx val="4"/>
              <c:layout>
                <c:manualLayout>
                  <c:x val="1.9789734075448363E-2"/>
                  <c:y val="1.1204481792717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EA-49E1-B36C-79971F7F12FE}"/>
                </c:ext>
              </c:extLst>
            </c:dLbl>
            <c:dLbl>
              <c:idx val="5"/>
              <c:layout>
                <c:manualLayout>
                  <c:x val="9.8948670377241813E-3"/>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5EA-49E1-B36C-79971F7F12F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Question3!$AM$4:$AM$9</c:f>
              <c:numCache>
                <c:formatCode>0.0%</c:formatCode>
                <c:ptCount val="6"/>
                <c:pt idx="0">
                  <c:v>0.10100000000000001</c:v>
                </c:pt>
                <c:pt idx="1">
                  <c:v>0.2</c:v>
                </c:pt>
                <c:pt idx="2">
                  <c:v>0.1263</c:v>
                </c:pt>
                <c:pt idx="3">
                  <c:v>0.2175</c:v>
                </c:pt>
                <c:pt idx="4">
                  <c:v>0.16489999999999999</c:v>
                </c:pt>
                <c:pt idx="5">
                  <c:v>0.19650000000000001</c:v>
                </c:pt>
              </c:numCache>
            </c:numRef>
          </c:val>
          <c:extLst>
            <c:ext xmlns:c16="http://schemas.microsoft.com/office/drawing/2014/chart" uri="{C3380CC4-5D6E-409C-BE32-E72D297353CC}">
              <c16:uniqueId val="{00000003-75EA-49E1-B36C-79971F7F12FE}"/>
            </c:ext>
          </c:extLst>
        </c:ser>
        <c:dLbls>
          <c:showLegendKey val="0"/>
          <c:showVal val="0"/>
          <c:showCatName val="0"/>
          <c:showSerName val="0"/>
          <c:showPercent val="0"/>
          <c:showBubbleSize val="0"/>
        </c:dLbls>
        <c:gapWidth val="150"/>
        <c:axId val="229596864"/>
        <c:axId val="229595296"/>
      </c:barChart>
      <c:catAx>
        <c:axId val="229596864"/>
        <c:scaling>
          <c:orientation val="minMax"/>
        </c:scaling>
        <c:delete val="0"/>
        <c:axPos val="b"/>
        <c:numFmt formatCode="General" sourceLinked="0"/>
        <c:majorTickMark val="out"/>
        <c:minorTickMark val="none"/>
        <c:tickLblPos val="nextTo"/>
        <c:txPr>
          <a:bodyPr rot="0" vert="horz"/>
          <a:lstStyle/>
          <a:p>
            <a:pPr>
              <a:defRPr/>
            </a:pPr>
            <a:endParaRPr lang="en-US"/>
          </a:p>
        </c:txPr>
        <c:crossAx val="229595296"/>
        <c:crosses val="autoZero"/>
        <c:auto val="1"/>
        <c:lblAlgn val="ctr"/>
        <c:lblOffset val="100"/>
        <c:noMultiLvlLbl val="0"/>
      </c:catAx>
      <c:valAx>
        <c:axId val="229595296"/>
        <c:scaling>
          <c:orientation val="minMax"/>
        </c:scaling>
        <c:delete val="0"/>
        <c:axPos val="l"/>
        <c:majorGridlines/>
        <c:numFmt formatCode="0%" sourceLinked="0"/>
        <c:majorTickMark val="out"/>
        <c:minorTickMark val="none"/>
        <c:tickLblPos val="nextTo"/>
        <c:crossAx val="229596864"/>
        <c:crosses val="autoZero"/>
        <c:crossBetween val="between"/>
      </c:valAx>
    </c:plotArea>
    <c:legend>
      <c:legendPos val="r"/>
      <c:layout>
        <c:manualLayout>
          <c:xMode val="edge"/>
          <c:yMode val="edge"/>
          <c:x val="0.43087393296617144"/>
          <c:y val="4.1080306138203314E-2"/>
          <c:w val="0.38992573980200529"/>
          <c:h val="0.13294691104788373"/>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3"/>
          <c:order val="0"/>
          <c:tx>
            <c:strRef>
              <c:f>'Question 2'!$AI$3</c:f>
              <c:strCache>
                <c:ptCount val="1"/>
                <c:pt idx="0">
                  <c:v>Feb-20</c:v>
                </c:pt>
              </c:strCache>
            </c:strRef>
          </c:tx>
          <c:spPr>
            <a:solidFill>
              <a:srgbClr val="00B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2'!$AI$4:$AI$8</c:f>
              <c:numCache>
                <c:formatCode>0.0%</c:formatCode>
                <c:ptCount val="5"/>
                <c:pt idx="0">
                  <c:v>0.63629999999999998</c:v>
                </c:pt>
                <c:pt idx="1">
                  <c:v>0.2142</c:v>
                </c:pt>
                <c:pt idx="2">
                  <c:v>0.10059999999999999</c:v>
                </c:pt>
                <c:pt idx="3">
                  <c:v>4.5400000000000003E-2</c:v>
                </c:pt>
                <c:pt idx="4">
                  <c:v>3.2000000000000002E-3</c:v>
                </c:pt>
              </c:numCache>
            </c:numRef>
          </c:val>
          <c:extLst>
            <c:ext xmlns:c16="http://schemas.microsoft.com/office/drawing/2014/chart" uri="{C3380CC4-5D6E-409C-BE32-E72D297353CC}">
              <c16:uniqueId val="{00000000-0389-49BC-A698-D5F4531A23CD}"/>
            </c:ext>
          </c:extLst>
        </c:ser>
        <c:ser>
          <c:idx val="4"/>
          <c:order val="1"/>
          <c:tx>
            <c:strRef>
              <c:f>'Question 2'!$AJ$3</c:f>
              <c:strCache>
                <c:ptCount val="1"/>
                <c:pt idx="0">
                  <c:v>Mar-20</c:v>
                </c:pt>
              </c:strCache>
            </c:strRef>
          </c:tx>
          <c:spPr>
            <a:solidFill>
              <a:srgbClr val="00206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2'!$AJ$4:$AJ$8</c:f>
              <c:numCache>
                <c:formatCode>0.00%</c:formatCode>
                <c:ptCount val="5"/>
                <c:pt idx="0">
                  <c:v>0.80589999999999995</c:v>
                </c:pt>
                <c:pt idx="1">
                  <c:v>0.12089999999999999</c:v>
                </c:pt>
                <c:pt idx="2">
                  <c:v>4.58E-2</c:v>
                </c:pt>
                <c:pt idx="3">
                  <c:v>1.2800000000000001E-2</c:v>
                </c:pt>
                <c:pt idx="4">
                  <c:v>1.47E-2</c:v>
                </c:pt>
              </c:numCache>
            </c:numRef>
          </c:val>
          <c:extLst>
            <c:ext xmlns:c16="http://schemas.microsoft.com/office/drawing/2014/chart" uri="{C3380CC4-5D6E-409C-BE32-E72D297353CC}">
              <c16:uniqueId val="{00000001-0389-49BC-A698-D5F4531A23CD}"/>
            </c:ext>
          </c:extLst>
        </c:ser>
        <c:ser>
          <c:idx val="0"/>
          <c:order val="2"/>
          <c:tx>
            <c:strRef>
              <c:f>'Question 2'!$AK$3</c:f>
              <c:strCache>
                <c:ptCount val="1"/>
                <c:pt idx="0">
                  <c:v>May-20</c:v>
                </c:pt>
              </c:strCache>
            </c:strRef>
          </c:tx>
          <c:invertIfNegative val="0"/>
          <c:dLbls>
            <c:dLbl>
              <c:idx val="0"/>
              <c:layout>
                <c:manualLayout>
                  <c:x val="7.7071290944123079E-3"/>
                  <c:y val="-1.267850729429376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89-49BC-A698-D5F4531A23CD}"/>
                </c:ext>
              </c:extLst>
            </c:dLbl>
            <c:dLbl>
              <c:idx val="1"/>
              <c:layout>
                <c:manualLayout>
                  <c:x val="5.1380860629415071E-3"/>
                  <c:y val="-1.01428058354350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89-49BC-A698-D5F4531A23CD}"/>
                </c:ext>
              </c:extLst>
            </c:dLbl>
            <c:dLbl>
              <c:idx val="2"/>
              <c:layout>
                <c:manualLayout>
                  <c:x val="2.569043031470777E-3"/>
                  <c:y val="-1.01428058354350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89-49BC-A698-D5F4531A23C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2'!$AK$4:$AK$8</c:f>
              <c:numCache>
                <c:formatCode>0.0%</c:formatCode>
                <c:ptCount val="5"/>
                <c:pt idx="0">
                  <c:v>0.74789915966386555</c:v>
                </c:pt>
                <c:pt idx="1">
                  <c:v>0.16526610644257703</c:v>
                </c:pt>
                <c:pt idx="2">
                  <c:v>5.6022408963585436E-2</c:v>
                </c:pt>
                <c:pt idx="3">
                  <c:v>1.4005602240896359E-2</c:v>
                </c:pt>
                <c:pt idx="4">
                  <c:v>1.680672268907563E-2</c:v>
                </c:pt>
              </c:numCache>
            </c:numRef>
          </c:val>
          <c:extLst>
            <c:ext xmlns:c16="http://schemas.microsoft.com/office/drawing/2014/chart" uri="{C3380CC4-5D6E-409C-BE32-E72D297353CC}">
              <c16:uniqueId val="{00000002-0389-49BC-A698-D5F4531A23CD}"/>
            </c:ext>
          </c:extLst>
        </c:ser>
        <c:ser>
          <c:idx val="1"/>
          <c:order val="3"/>
          <c:tx>
            <c:strRef>
              <c:f>'Question 2'!$AL$3</c:f>
              <c:strCache>
                <c:ptCount val="1"/>
                <c:pt idx="0">
                  <c:v>Jun-20</c:v>
                </c:pt>
              </c:strCache>
            </c:strRef>
          </c:tx>
          <c:spPr>
            <a:solidFill>
              <a:srgbClr val="C00000"/>
            </a:solidFill>
          </c:spPr>
          <c:invertIfNegative val="0"/>
          <c:dLbls>
            <c:dLbl>
              <c:idx val="0"/>
              <c:layout>
                <c:manualLayout>
                  <c:x val="0"/>
                  <c:y val="2.766251728907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89-49BC-A698-D5F4531A23CD}"/>
                </c:ext>
              </c:extLst>
            </c:dLbl>
            <c:dLbl>
              <c:idx val="1"/>
              <c:layout>
                <c:manualLayout>
                  <c:x val="1.5414258188824663E-2"/>
                  <c:y val="-1.01428058354350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89-49BC-A698-D5F4531A23CD}"/>
                </c:ext>
              </c:extLst>
            </c:dLbl>
            <c:dLbl>
              <c:idx val="2"/>
              <c:layout>
                <c:manualLayout>
                  <c:x val="7.70712909441233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89-49BC-A698-D5F4531A23C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2'!$AL$4:$AL$8</c:f>
              <c:numCache>
                <c:formatCode>0.0%</c:formatCode>
                <c:ptCount val="5"/>
                <c:pt idx="0">
                  <c:v>0.71089999999999998</c:v>
                </c:pt>
                <c:pt idx="1">
                  <c:v>0.20349999999999999</c:v>
                </c:pt>
                <c:pt idx="2">
                  <c:v>4.2099999999999999E-2</c:v>
                </c:pt>
                <c:pt idx="3">
                  <c:v>2.81E-2</c:v>
                </c:pt>
                <c:pt idx="4">
                  <c:v>1.7500000000000002E-2</c:v>
                </c:pt>
              </c:numCache>
            </c:numRef>
          </c:val>
          <c:extLst>
            <c:ext xmlns:c16="http://schemas.microsoft.com/office/drawing/2014/chart" uri="{C3380CC4-5D6E-409C-BE32-E72D297353CC}">
              <c16:uniqueId val="{00000003-0389-49BC-A698-D5F4531A23CD}"/>
            </c:ext>
          </c:extLst>
        </c:ser>
        <c:dLbls>
          <c:showLegendKey val="0"/>
          <c:showVal val="0"/>
          <c:showCatName val="0"/>
          <c:showSerName val="0"/>
          <c:showPercent val="0"/>
          <c:showBubbleSize val="0"/>
        </c:dLbls>
        <c:gapWidth val="150"/>
        <c:axId val="229590592"/>
        <c:axId val="229598040"/>
      </c:barChart>
      <c:catAx>
        <c:axId val="229590592"/>
        <c:scaling>
          <c:orientation val="minMax"/>
        </c:scaling>
        <c:delete val="0"/>
        <c:axPos val="b"/>
        <c:numFmt formatCode="General" sourceLinked="0"/>
        <c:majorTickMark val="out"/>
        <c:minorTickMark val="none"/>
        <c:tickLblPos val="nextTo"/>
        <c:crossAx val="229598040"/>
        <c:crosses val="autoZero"/>
        <c:auto val="1"/>
        <c:lblAlgn val="ctr"/>
        <c:lblOffset val="100"/>
        <c:noMultiLvlLbl val="0"/>
      </c:catAx>
      <c:valAx>
        <c:axId val="229598040"/>
        <c:scaling>
          <c:orientation val="minMax"/>
        </c:scaling>
        <c:delete val="0"/>
        <c:axPos val="l"/>
        <c:majorGridlines/>
        <c:numFmt formatCode="0%" sourceLinked="0"/>
        <c:majorTickMark val="out"/>
        <c:minorTickMark val="none"/>
        <c:tickLblPos val="nextTo"/>
        <c:crossAx val="229590592"/>
        <c:crosses val="autoZero"/>
        <c:crossBetween val="between"/>
      </c:valAx>
    </c:plotArea>
    <c:legend>
      <c:legendPos val="r"/>
      <c:layout>
        <c:manualLayout>
          <c:xMode val="edge"/>
          <c:yMode val="edge"/>
          <c:x val="0.46129493928865817"/>
          <c:y val="0.13442512394284051"/>
          <c:w val="0.46566291930271719"/>
          <c:h val="0.2035011598653902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1"/>
          <c:order val="0"/>
          <c:tx>
            <c:strRef>
              <c:f>Question1!$AI$3</c:f>
              <c:strCache>
                <c:ptCount val="1"/>
                <c:pt idx="0">
                  <c:v>Feb-20</c:v>
                </c:pt>
              </c:strCache>
            </c:strRef>
          </c:tx>
          <c:spPr>
            <a:solidFill>
              <a:srgbClr val="C0000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Question1!$AI$4:$AI$8</c:f>
              <c:numCache>
                <c:formatCode>0.0%</c:formatCode>
                <c:ptCount val="5"/>
                <c:pt idx="0">
                  <c:v>0.65249999999999997</c:v>
                </c:pt>
                <c:pt idx="1">
                  <c:v>0.2175</c:v>
                </c:pt>
                <c:pt idx="2">
                  <c:v>0.1038</c:v>
                </c:pt>
                <c:pt idx="3">
                  <c:v>2.5899999999999999E-2</c:v>
                </c:pt>
                <c:pt idx="4">
                  <c:v>0</c:v>
                </c:pt>
              </c:numCache>
            </c:numRef>
          </c:val>
          <c:extLst>
            <c:ext xmlns:c16="http://schemas.microsoft.com/office/drawing/2014/chart" uri="{C3380CC4-5D6E-409C-BE32-E72D297353CC}">
              <c16:uniqueId val="{00000000-F79C-4873-BC64-ECDB992C0DDC}"/>
            </c:ext>
          </c:extLst>
        </c:ser>
        <c:ser>
          <c:idx val="2"/>
          <c:order val="1"/>
          <c:tx>
            <c:strRef>
              <c:f>Question1!$AJ$3</c:f>
              <c:strCache>
                <c:ptCount val="1"/>
                <c:pt idx="0">
                  <c:v>Mar-20</c:v>
                </c:pt>
              </c:strCache>
            </c:strRef>
          </c:tx>
          <c:spPr>
            <a:solidFill>
              <a:srgbClr val="002060"/>
            </a:solidFill>
          </c:spPr>
          <c:invertIfNegative val="0"/>
          <c:dLbls>
            <c:dLbl>
              <c:idx val="2"/>
              <c:layout>
                <c:manualLayout>
                  <c:x val="0"/>
                  <c:y val="1.5151515151515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9C-4873-BC64-ECDB992C0DD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Question1!$AJ$4:$AJ$8</c:f>
              <c:numCache>
                <c:formatCode>0.00%</c:formatCode>
                <c:ptCount val="5"/>
                <c:pt idx="0">
                  <c:v>0.78649999999999998</c:v>
                </c:pt>
                <c:pt idx="1">
                  <c:v>0.13</c:v>
                </c:pt>
                <c:pt idx="2">
                  <c:v>5.2999999999999999E-2</c:v>
                </c:pt>
                <c:pt idx="3">
                  <c:v>1.2800000000000001E-2</c:v>
                </c:pt>
                <c:pt idx="4">
                  <c:v>1.83E-2</c:v>
                </c:pt>
              </c:numCache>
            </c:numRef>
          </c:val>
          <c:extLst>
            <c:ext xmlns:c16="http://schemas.microsoft.com/office/drawing/2014/chart" uri="{C3380CC4-5D6E-409C-BE32-E72D297353CC}">
              <c16:uniqueId val="{00000001-F79C-4873-BC64-ECDB992C0DDC}"/>
            </c:ext>
          </c:extLst>
        </c:ser>
        <c:ser>
          <c:idx val="3"/>
          <c:order val="2"/>
          <c:tx>
            <c:strRef>
              <c:f>Question1!$AK$3</c:f>
              <c:strCache>
                <c:ptCount val="1"/>
                <c:pt idx="0">
                  <c:v>May-20</c:v>
                </c:pt>
              </c:strCache>
            </c:strRef>
          </c:tx>
          <c:invertIfNegative val="0"/>
          <c:dLbls>
            <c:dLbl>
              <c:idx val="0"/>
              <c:layout>
                <c:manualLayout>
                  <c:x val="4.5672527974423179E-3"/>
                  <c:y val="-1.157394037092726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9C-4873-BC64-ECDB992C0DDC}"/>
                </c:ext>
              </c:extLst>
            </c:dLbl>
            <c:dLbl>
              <c:idx val="1"/>
              <c:layout>
                <c:manualLayout>
                  <c:x val="6.850879196163465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9C-4873-BC64-ECDB992C0DD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Question1!$AK$4:$AK$8</c:f>
              <c:numCache>
                <c:formatCode>0.0%</c:formatCode>
                <c:ptCount val="5"/>
                <c:pt idx="0">
                  <c:v>0.73961218836565101</c:v>
                </c:pt>
                <c:pt idx="1">
                  <c:v>0.14681440443213298</c:v>
                </c:pt>
                <c:pt idx="2">
                  <c:v>7.4792243767313013E-2</c:v>
                </c:pt>
                <c:pt idx="3">
                  <c:v>1.662049861495845E-2</c:v>
                </c:pt>
                <c:pt idx="4">
                  <c:v>2.2160664819944598E-2</c:v>
                </c:pt>
              </c:numCache>
            </c:numRef>
          </c:val>
          <c:extLst>
            <c:ext xmlns:c16="http://schemas.microsoft.com/office/drawing/2014/chart" uri="{C3380CC4-5D6E-409C-BE32-E72D297353CC}">
              <c16:uniqueId val="{00000002-F79C-4873-BC64-ECDB992C0DDC}"/>
            </c:ext>
          </c:extLst>
        </c:ser>
        <c:ser>
          <c:idx val="5"/>
          <c:order val="3"/>
          <c:tx>
            <c:strRef>
              <c:f>Question1!$AL$3</c:f>
              <c:strCache>
                <c:ptCount val="1"/>
                <c:pt idx="0">
                  <c:v>Jun-20</c:v>
                </c:pt>
              </c:strCache>
            </c:strRef>
          </c:tx>
          <c:invertIfNegative val="0"/>
          <c:dLbls>
            <c:dLbl>
              <c:idx val="0"/>
              <c:layout>
                <c:manualLayout>
                  <c:x val="1.1418131993605805E-2"/>
                  <c:y val="1.5151515151515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9C-4873-BC64-ECDB992C0DDC}"/>
                </c:ext>
              </c:extLst>
            </c:dLbl>
            <c:dLbl>
              <c:idx val="1"/>
              <c:layout>
                <c:manualLayout>
                  <c:x val="1.5985384791048184E-2"/>
                  <c:y val="1.0101010101010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9C-4873-BC64-ECDB992C0DDC}"/>
                </c:ext>
              </c:extLst>
            </c:dLbl>
            <c:dLbl>
              <c:idx val="3"/>
              <c:layout>
                <c:manualLayout>
                  <c:x val="4.5672527974421713E-3"/>
                  <c:y val="-9.25915229674181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9C-4873-BC64-ECDB992C0DD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Question1!$AL$4:$AL$8</c:f>
              <c:numCache>
                <c:formatCode>0.0%</c:formatCode>
                <c:ptCount val="5"/>
                <c:pt idx="0">
                  <c:v>0.68159999999999998</c:v>
                </c:pt>
                <c:pt idx="1">
                  <c:v>0.18329999999999999</c:v>
                </c:pt>
                <c:pt idx="2">
                  <c:v>0.1053</c:v>
                </c:pt>
                <c:pt idx="3">
                  <c:v>2.1100000000000001E-2</c:v>
                </c:pt>
                <c:pt idx="4">
                  <c:v>1.0500000000000001E-2</c:v>
                </c:pt>
              </c:numCache>
            </c:numRef>
          </c:val>
          <c:extLst>
            <c:ext xmlns:c16="http://schemas.microsoft.com/office/drawing/2014/chart" uri="{C3380CC4-5D6E-409C-BE32-E72D297353CC}">
              <c16:uniqueId val="{00000003-F79C-4873-BC64-ECDB992C0DDC}"/>
            </c:ext>
          </c:extLst>
        </c:ser>
        <c:dLbls>
          <c:showLegendKey val="0"/>
          <c:showVal val="0"/>
          <c:showCatName val="0"/>
          <c:showSerName val="0"/>
          <c:showPercent val="0"/>
          <c:showBubbleSize val="0"/>
        </c:dLbls>
        <c:gapWidth val="150"/>
        <c:axId val="229596472"/>
        <c:axId val="229594904"/>
      </c:barChart>
      <c:catAx>
        <c:axId val="229596472"/>
        <c:scaling>
          <c:orientation val="minMax"/>
        </c:scaling>
        <c:delete val="0"/>
        <c:axPos val="b"/>
        <c:numFmt formatCode="General" sourceLinked="0"/>
        <c:majorTickMark val="out"/>
        <c:minorTickMark val="none"/>
        <c:tickLblPos val="nextTo"/>
        <c:crossAx val="229594904"/>
        <c:crosses val="autoZero"/>
        <c:auto val="1"/>
        <c:lblAlgn val="ctr"/>
        <c:lblOffset val="100"/>
        <c:noMultiLvlLbl val="0"/>
      </c:catAx>
      <c:valAx>
        <c:axId val="229594904"/>
        <c:scaling>
          <c:orientation val="minMax"/>
        </c:scaling>
        <c:delete val="0"/>
        <c:axPos val="l"/>
        <c:majorGridlines/>
        <c:numFmt formatCode="0%" sourceLinked="0"/>
        <c:majorTickMark val="out"/>
        <c:minorTickMark val="none"/>
        <c:tickLblPos val="nextTo"/>
        <c:crossAx val="229596472"/>
        <c:crosses val="autoZero"/>
        <c:crossBetween val="between"/>
      </c:valAx>
    </c:plotArea>
    <c:legend>
      <c:legendPos val="r"/>
      <c:layout>
        <c:manualLayout>
          <c:xMode val="edge"/>
          <c:yMode val="edge"/>
          <c:x val="0.42669253577831201"/>
          <c:y val="5.3196134574087332E-2"/>
          <c:w val="0.3942161317526563"/>
          <c:h val="0.1104167660860574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5A8D-16C5-4B7E-A84C-E1629DE0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3</cp:revision>
  <cp:lastPrinted>2020-04-03T12:53:00Z</cp:lastPrinted>
  <dcterms:created xsi:type="dcterms:W3CDTF">2020-08-08T09:48:00Z</dcterms:created>
  <dcterms:modified xsi:type="dcterms:W3CDTF">2020-08-10T06:18:00Z</dcterms:modified>
</cp:coreProperties>
</file>