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1384" w14:textId="65A4D234" w:rsidR="00D8081E" w:rsidRDefault="00D8081E"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1B6B3E07" wp14:editId="7C37421E">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7F210C9F" w14:textId="62CE98A9" w:rsidR="00D8081E" w:rsidRDefault="00D8081E"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112E511B" w14:textId="77777777" w:rsidR="00D8081E" w:rsidRDefault="00D8081E" w:rsidP="00D8081E">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2AC36AB4" w14:textId="77777777" w:rsidR="00D8081E" w:rsidRDefault="00D8081E"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2B0925C6"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102074">
        <w:rPr>
          <w:rFonts w:ascii="Times New Roman" w:eastAsia="Times New Roman" w:hAnsi="Times New Roman" w:cs="Times New Roman"/>
          <w:b/>
          <w:color w:val="222222"/>
          <w:sz w:val="28"/>
          <w:szCs w:val="28"/>
          <w:shd w:val="clear" w:color="auto" w:fill="FFFFFF"/>
          <w:lang w:val="en-GB" w:eastAsia="en-GB"/>
        </w:rPr>
        <w:t>Decembe</w:t>
      </w:r>
      <w:r w:rsidR="007C6EE8">
        <w:rPr>
          <w:rFonts w:ascii="Times New Roman" w:eastAsia="Times New Roman" w:hAnsi="Times New Roman" w:cs="Times New Roman"/>
          <w:b/>
          <w:color w:val="222222"/>
          <w:sz w:val="28"/>
          <w:szCs w:val="28"/>
          <w:shd w:val="clear" w:color="auto" w:fill="FFFFFF"/>
          <w:lang w:val="en-GB" w:eastAsia="en-GB"/>
        </w:rPr>
        <w:t>r</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A47F48">
        <w:rPr>
          <w:rFonts w:ascii="Times New Roman" w:eastAsia="Times New Roman" w:hAnsi="Times New Roman" w:cs="Times New Roman"/>
          <w:b/>
          <w:color w:val="222222"/>
          <w:sz w:val="28"/>
          <w:szCs w:val="28"/>
          <w:shd w:val="clear" w:color="auto" w:fill="FFFFFF"/>
          <w:lang w:val="en-GB" w:eastAsia="en-GB"/>
        </w:rPr>
        <w:t>8</w:t>
      </w:r>
    </w:p>
    <w:p w14:paraId="1D3B2346" w14:textId="77777777" w:rsidR="00FC49EB" w:rsidRDefault="00FC49EB" w:rsidP="001D09C4">
      <w:pPr>
        <w:spacing w:after="0" w:line="240" w:lineRule="auto"/>
        <w:rPr>
          <w:rFonts w:ascii="Times New Roman" w:hAnsi="Times New Roman" w:cs="Times New Roman"/>
          <w:b/>
        </w:rPr>
      </w:pPr>
    </w:p>
    <w:p w14:paraId="2E03777D" w14:textId="34D648E9" w:rsidR="00D8081E" w:rsidRPr="00287FA5" w:rsidRDefault="009237F4" w:rsidP="00D8081E">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5</w:t>
      </w:r>
      <w:r w:rsidR="00D8081E">
        <w:rPr>
          <w:rFonts w:ascii="Times New Roman" w:eastAsia="Times New Roman" w:hAnsi="Times New Roman" w:cs="Times New Roman"/>
          <w:b/>
          <w:sz w:val="24"/>
          <w:szCs w:val="24"/>
        </w:rPr>
        <w:t xml:space="preserve">, </w:t>
      </w:r>
      <w:r w:rsidR="00D8081E" w:rsidRPr="00A90CE8">
        <w:rPr>
          <w:rFonts w:ascii="Times New Roman" w:eastAsia="Times New Roman" w:hAnsi="Times New Roman" w:cs="Times New Roman"/>
          <w:b/>
          <w:sz w:val="24"/>
          <w:szCs w:val="24"/>
        </w:rPr>
        <w:t>201</w:t>
      </w:r>
      <w:r w:rsidR="00D8081E">
        <w:rPr>
          <w:rFonts w:ascii="Times New Roman" w:eastAsia="Times New Roman" w:hAnsi="Times New Roman" w:cs="Times New Roman"/>
          <w:b/>
          <w:sz w:val="24"/>
          <w:szCs w:val="24"/>
        </w:rPr>
        <w:t>9</w:t>
      </w:r>
      <w:r w:rsidR="00D8081E" w:rsidRPr="00A90CE8">
        <w:rPr>
          <w:rFonts w:ascii="Times New Roman" w:eastAsia="Times New Roman" w:hAnsi="Times New Roman" w:cs="Times New Roman"/>
          <w:b/>
          <w:sz w:val="24"/>
          <w:szCs w:val="24"/>
        </w:rPr>
        <w:t xml:space="preserve"> | Ahmedabad</w:t>
      </w:r>
    </w:p>
    <w:p w14:paraId="560BBB31" w14:textId="77777777" w:rsidR="00D8081E" w:rsidRPr="00287FA5" w:rsidRDefault="00D8081E" w:rsidP="00D8081E">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w:t>
      </w:r>
      <w:bookmarkStart w:id="0" w:name="_GoBack"/>
      <w:bookmarkEnd w:id="0"/>
      <w:r w:rsidRPr="00287FA5">
        <w:rPr>
          <w:rFonts w:ascii="Times New Roman" w:hAnsi="Times New Roman" w:cs="Times New Roman"/>
          <w:bCs/>
          <w:lang w:val="en-US"/>
        </w:rPr>
        <w:t>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p>
    <w:p w14:paraId="1B193D44" w14:textId="77777777" w:rsidR="00D8081E" w:rsidRPr="00287FA5" w:rsidRDefault="00D8081E" w:rsidP="00D8081E">
      <w:pPr>
        <w:spacing w:after="0" w:line="240" w:lineRule="auto"/>
        <w:jc w:val="both"/>
        <w:rPr>
          <w:rFonts w:ascii="Times New Roman" w:hAnsi="Times New Roman" w:cs="Times New Roman"/>
          <w:bCs/>
          <w:lang w:val="en-US"/>
        </w:rPr>
      </w:pPr>
    </w:p>
    <w:p w14:paraId="325013D9" w14:textId="46C1381D" w:rsidR="00D8081E" w:rsidRPr="001A6C03" w:rsidRDefault="00D8081E" w:rsidP="00D8081E">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ate Affairs (MCA). BIES - December 2018 is the 20</w:t>
      </w:r>
      <w:r w:rsidRPr="001A6C03">
        <w:rPr>
          <w:rFonts w:ascii="Times New Roman" w:hAnsi="Times New Roman" w:cs="Times New Roman"/>
          <w:bCs/>
          <w:vertAlign w:val="superscript"/>
          <w:lang w:val="en-US"/>
        </w:rPr>
        <w:t>th</w:t>
      </w:r>
      <w:r>
        <w:rPr>
          <w:rFonts w:ascii="Times New Roman" w:hAnsi="Times New Roman" w:cs="Times New Roman"/>
          <w:bCs/>
          <w:lang w:val="en-US"/>
        </w:rPr>
        <w:t xml:space="preserve"> round of the Survey. </w:t>
      </w:r>
      <w:r w:rsidRPr="00287FA5">
        <w:rPr>
          <w:rFonts w:ascii="Times New Roman" w:hAnsi="Times New Roman" w:cs="Times New Roman"/>
          <w:bCs/>
          <w:lang w:val="en-US"/>
        </w:rPr>
        <w:t>These results are based on the responses of over 1600 companies.</w:t>
      </w:r>
    </w:p>
    <w:p w14:paraId="02DEBA75" w14:textId="77777777" w:rsidR="00D8081E" w:rsidRDefault="00D8081E" w:rsidP="001D09C4">
      <w:pPr>
        <w:spacing w:after="0" w:line="240" w:lineRule="auto"/>
        <w:rPr>
          <w:rFonts w:ascii="Times New Roman" w:hAnsi="Times New Roman" w:cs="Times New Roman"/>
          <w:b/>
        </w:rPr>
      </w:pPr>
    </w:p>
    <w:p w14:paraId="354A3479" w14:textId="0D1BE9A3"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5D738814" w14:textId="22459B11" w:rsidR="000E6AFE" w:rsidRPr="00EB118F" w:rsidRDefault="000E6AFE" w:rsidP="000E6AFE">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declined sharply to 3.29% </w:t>
      </w:r>
      <w:r w:rsidR="00617D99">
        <w:rPr>
          <w:rFonts w:ascii="Times New Roman" w:hAnsi="Times New Roman" w:cs="Times New Roman"/>
          <w:bCs/>
        </w:rPr>
        <w:t>i</w:t>
      </w:r>
      <w:r w:rsidR="00617D99" w:rsidRPr="008D6D83">
        <w:rPr>
          <w:rFonts w:ascii="Times New Roman" w:hAnsi="Times New Roman" w:cs="Times New Roman"/>
          <w:bCs/>
        </w:rPr>
        <w:t xml:space="preserve">n </w:t>
      </w:r>
      <w:r w:rsidR="00617D99">
        <w:rPr>
          <w:rFonts w:ascii="Times New Roman" w:hAnsi="Times New Roman" w:cs="Times New Roman"/>
          <w:bCs/>
        </w:rPr>
        <w:t>December</w:t>
      </w:r>
      <w:r w:rsidR="00617D99" w:rsidRPr="008D6D83">
        <w:rPr>
          <w:rFonts w:ascii="Times New Roman" w:hAnsi="Times New Roman" w:cs="Times New Roman"/>
          <w:bCs/>
        </w:rPr>
        <w:t xml:space="preserve"> 2018</w:t>
      </w:r>
      <w:r w:rsidR="00617D99">
        <w:rPr>
          <w:rFonts w:ascii="Times New Roman" w:hAnsi="Times New Roman" w:cs="Times New Roman"/>
          <w:bCs/>
        </w:rPr>
        <w:t xml:space="preserve"> </w:t>
      </w:r>
      <w:r>
        <w:rPr>
          <w:rFonts w:ascii="Times New Roman" w:hAnsi="Times New Roman" w:cs="Times New Roman"/>
          <w:bCs/>
        </w:rPr>
        <w:t>from 3.86</w:t>
      </w:r>
      <w:r w:rsidRPr="00EB118F">
        <w:rPr>
          <w:rFonts w:ascii="Times New Roman" w:hAnsi="Times New Roman" w:cs="Times New Roman"/>
          <w:bCs/>
        </w:rPr>
        <w:t>%</w:t>
      </w:r>
      <w:r>
        <w:rPr>
          <w:rFonts w:ascii="Times New Roman" w:hAnsi="Times New Roman" w:cs="Times New Roman"/>
          <w:bCs/>
        </w:rPr>
        <w:t xml:space="preserve"> observed in November 2018</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343851BD" w14:textId="77777777" w:rsidR="000E6AFE" w:rsidRPr="00FC49EB" w:rsidRDefault="000E6AFE" w:rsidP="000E6AFE">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6FA49DC4" w14:textId="457F355B" w:rsidR="000E6AFE" w:rsidRPr="00025620" w:rsidRDefault="000E6AFE" w:rsidP="000E6AFE">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CB1B55">
        <w:rPr>
          <w:rFonts w:ascii="Times New Roman" w:hAnsi="Times New Roman" w:cs="Times New Roman"/>
          <w:bCs/>
        </w:rPr>
        <w:t>Dec</w:t>
      </w:r>
      <w:r>
        <w:rPr>
          <w:rFonts w:ascii="Times New Roman" w:hAnsi="Times New Roman" w:cs="Times New Roman"/>
          <w:bCs/>
        </w:rPr>
        <w:t>ember 2018</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 xml:space="preserve">has </w:t>
      </w:r>
      <w:r w:rsidR="00CB1B55">
        <w:rPr>
          <w:rFonts w:ascii="Times New Roman" w:hAnsi="Times New Roman" w:cs="Times New Roman"/>
          <w:bCs/>
        </w:rPr>
        <w:t>also declined to</w:t>
      </w:r>
      <w:r>
        <w:rPr>
          <w:rFonts w:ascii="Times New Roman" w:hAnsi="Times New Roman" w:cs="Times New Roman"/>
          <w:bCs/>
        </w:rPr>
        <w:t xml:space="preserve"> 2.</w:t>
      </w:r>
      <w:r w:rsidR="00CB1B55">
        <w:rPr>
          <w:rFonts w:ascii="Times New Roman" w:hAnsi="Times New Roman" w:cs="Times New Roman"/>
          <w:bCs/>
        </w:rPr>
        <w:t>1</w:t>
      </w:r>
      <w:r>
        <w:rPr>
          <w:rFonts w:ascii="Times New Roman" w:hAnsi="Times New Roman" w:cs="Times New Roman"/>
          <w:bCs/>
        </w:rPr>
        <w:t>2%</w:t>
      </w:r>
      <w:r w:rsidR="00CB1B55">
        <w:rPr>
          <w:rFonts w:ascii="Times New Roman" w:hAnsi="Times New Roman" w:cs="Times New Roman"/>
          <w:bCs/>
        </w:rPr>
        <w:t xml:space="preserve"> from 2.24</w:t>
      </w:r>
      <w:r w:rsidR="00CB1B55" w:rsidRPr="00EB118F">
        <w:rPr>
          <w:rFonts w:ascii="Times New Roman" w:hAnsi="Times New Roman" w:cs="Times New Roman"/>
          <w:bCs/>
        </w:rPr>
        <w:t>%</w:t>
      </w:r>
      <w:r w:rsidR="00CB1B55">
        <w:rPr>
          <w:rFonts w:ascii="Times New Roman" w:hAnsi="Times New Roman" w:cs="Times New Roman"/>
          <w:bCs/>
        </w:rPr>
        <w:t xml:space="preserve"> observed in November 2018</w:t>
      </w:r>
      <w:r w:rsidRPr="00FC49EB">
        <w:rPr>
          <w:rFonts w:ascii="Times New Roman" w:hAnsi="Times New Roman" w:cs="Times New Roman"/>
          <w:bCs/>
        </w:rPr>
        <w:t>.</w:t>
      </w:r>
    </w:p>
    <w:p w14:paraId="09A44487" w14:textId="77777777" w:rsidR="00025620" w:rsidRPr="00FC49EB" w:rsidRDefault="00025620" w:rsidP="00025620">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44F307C6" w14:textId="5F1D9093" w:rsidR="00564E29" w:rsidRDefault="001D09C4" w:rsidP="00D8081E">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3A7E08AD" w14:textId="4C0F7721" w:rsidR="00564E29" w:rsidRDefault="00102074" w:rsidP="001D09C4">
      <w:pPr>
        <w:spacing w:after="0" w:line="240" w:lineRule="auto"/>
        <w:jc w:val="center"/>
        <w:rPr>
          <w:noProof/>
          <w:lang w:eastAsia="en-IN" w:bidi="hi-IN"/>
        </w:rPr>
      </w:pPr>
      <w:r>
        <w:rPr>
          <w:noProof/>
          <w:lang w:eastAsia="en-IN"/>
        </w:rPr>
        <w:drawing>
          <wp:inline distT="0" distB="0" distL="0" distR="0" wp14:anchorId="085A154B" wp14:editId="3E17E345">
            <wp:extent cx="5048250" cy="24098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044812" w14:textId="5D234AA7" w:rsidR="00102074" w:rsidRDefault="00102074" w:rsidP="001D09C4">
      <w:pPr>
        <w:spacing w:after="0" w:line="240" w:lineRule="auto"/>
        <w:jc w:val="center"/>
        <w:rPr>
          <w:noProof/>
          <w:lang w:eastAsia="en-IN" w:bidi="hi-IN"/>
        </w:rPr>
      </w:pPr>
    </w:p>
    <w:p w14:paraId="2DF3C8BA" w14:textId="652A431D" w:rsidR="00102074" w:rsidRDefault="00102074" w:rsidP="001D09C4">
      <w:pPr>
        <w:spacing w:after="0" w:line="240" w:lineRule="auto"/>
        <w:jc w:val="center"/>
        <w:rPr>
          <w:noProof/>
          <w:lang w:eastAsia="en-IN" w:bidi="hi-IN"/>
        </w:rPr>
      </w:pPr>
    </w:p>
    <w:p w14:paraId="283979C3" w14:textId="66490058" w:rsidR="007C6EE8" w:rsidRPr="00F046DB" w:rsidRDefault="007C6EE8" w:rsidP="007C6EE8">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w:t>
      </w:r>
      <w:r w:rsidR="00617D99">
        <w:rPr>
          <w:rFonts w:ascii="Times New Roman" w:hAnsi="Times New Roman" w:cs="Times New Roman"/>
          <w:bCs/>
        </w:rPr>
        <w:t>ly monetary policy announcement</w:t>
      </w:r>
      <w:r>
        <w:rPr>
          <w:rFonts w:ascii="Times New Roman" w:hAnsi="Times New Roman" w:cs="Times New Roman"/>
          <w:bCs/>
        </w:rPr>
        <w:t>.</w:t>
      </w:r>
    </w:p>
    <w:p w14:paraId="4000EFB4" w14:textId="77777777" w:rsidR="007C6EE8" w:rsidRPr="00BD4062" w:rsidRDefault="007C6EE8" w:rsidP="007C6EE8">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14:paraId="7EF89943" w14:textId="14616615" w:rsidR="007C6EE8" w:rsidRPr="00025620" w:rsidRDefault="007C6EE8" w:rsidP="007C6EE8">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A60C08">
        <w:rPr>
          <w:rFonts w:ascii="Times New Roman" w:hAnsi="Times New Roman" w:cs="Times New Roman"/>
          <w:bCs/>
        </w:rPr>
        <w:t>December</w:t>
      </w:r>
      <w:r>
        <w:rPr>
          <w:rFonts w:ascii="Times New Roman" w:hAnsi="Times New Roman" w:cs="Times New Roman"/>
          <w:bCs/>
        </w:rPr>
        <w:t xml:space="preserve"> 2018</w:t>
      </w:r>
      <w:r w:rsidRPr="0086778C">
        <w:rPr>
          <w:rFonts w:ascii="Times New Roman" w:hAnsi="Times New Roman" w:cs="Times New Roman"/>
          <w:bCs/>
        </w:rPr>
        <w:t xml:space="preserve"> 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sidR="00A60C08">
        <w:rPr>
          <w:rFonts w:ascii="Times New Roman" w:hAnsi="Times New Roman" w:cs="Times New Roman"/>
          <w:bCs/>
        </w:rPr>
        <w:t xml:space="preserve">3.83% </w:t>
      </w:r>
      <w:r>
        <w:rPr>
          <w:rFonts w:ascii="Times New Roman" w:hAnsi="Times New Roman" w:cs="Times New Roman"/>
          <w:bCs/>
        </w:rPr>
        <w:t>(</w:t>
      </w:r>
      <w:r w:rsidR="00F7154C">
        <w:rPr>
          <w:rFonts w:ascii="Times New Roman" w:hAnsi="Times New Roman" w:cs="Times New Roman"/>
          <w:bCs/>
        </w:rPr>
        <w:t>down</w:t>
      </w:r>
      <w:r>
        <w:rPr>
          <w:rFonts w:ascii="Times New Roman" w:hAnsi="Times New Roman" w:cs="Times New Roman"/>
          <w:bCs/>
        </w:rPr>
        <w:t xml:space="preserve"> from </w:t>
      </w:r>
      <w:r w:rsidR="00A60C08">
        <w:rPr>
          <w:rFonts w:ascii="Times New Roman" w:hAnsi="Times New Roman" w:cs="Times New Roman"/>
          <w:bCs/>
        </w:rPr>
        <w:t>4.07%</w:t>
      </w:r>
      <w:r w:rsidR="00617D99">
        <w:rPr>
          <w:rFonts w:ascii="Times New Roman" w:hAnsi="Times New Roman" w:cs="Times New Roman"/>
          <w:bCs/>
        </w:rPr>
        <w:t xml:space="preserve"> observed in October 2018 and </w:t>
      </w:r>
      <w:r w:rsidR="00F7154C">
        <w:rPr>
          <w:rFonts w:ascii="Times New Roman" w:hAnsi="Times New Roman" w:cs="Times New Roman"/>
          <w:bCs/>
        </w:rPr>
        <w:t>4.36%</w:t>
      </w:r>
      <w:r>
        <w:rPr>
          <w:rFonts w:ascii="Times New Roman" w:hAnsi="Times New Roman" w:cs="Times New Roman"/>
          <w:bCs/>
        </w:rPr>
        <w:t xml:space="preserve"> </w:t>
      </w:r>
      <w:r w:rsidR="00617D99">
        <w:rPr>
          <w:rFonts w:ascii="Times New Roman" w:hAnsi="Times New Roman" w:cs="Times New Roman"/>
          <w:bCs/>
        </w:rPr>
        <w:t xml:space="preserve">observed in </w:t>
      </w:r>
      <w:r w:rsidR="00F7154C">
        <w:rPr>
          <w:rFonts w:ascii="Times New Roman" w:hAnsi="Times New Roman" w:cs="Times New Roman"/>
          <w:bCs/>
        </w:rPr>
        <w:t>August</w:t>
      </w:r>
      <w:r>
        <w:rPr>
          <w:rFonts w:ascii="Times New Roman" w:hAnsi="Times New Roman" w:cs="Times New Roman"/>
          <w:bCs/>
        </w:rPr>
        <w:t xml:space="preserve"> 2018)</w:t>
      </w:r>
      <w:r w:rsidRPr="0086778C">
        <w:rPr>
          <w:rFonts w:ascii="Times New Roman" w:hAnsi="Times New Roman" w:cs="Times New Roman"/>
          <w:bCs/>
        </w:rPr>
        <w:t>, with a relatively low standard deviation of 1.</w:t>
      </w:r>
      <w:r w:rsidR="00F7154C">
        <w:rPr>
          <w:rFonts w:ascii="Times New Roman" w:hAnsi="Times New Roman" w:cs="Times New Roman"/>
          <w:bCs/>
        </w:rPr>
        <w:t>0</w:t>
      </w:r>
      <w:r w:rsidR="00CB1B55">
        <w:rPr>
          <w:rFonts w:ascii="Times New Roman" w:hAnsi="Times New Roman" w:cs="Times New Roman"/>
          <w:bCs/>
        </w:rPr>
        <w:t>0</w:t>
      </w:r>
      <w:r w:rsidRPr="0086778C">
        <w:rPr>
          <w:rFonts w:ascii="Times New Roman" w:hAnsi="Times New Roman" w:cs="Times New Roman"/>
          <w:bCs/>
        </w:rPr>
        <w:t>% (Chart 2).</w:t>
      </w:r>
      <w:r>
        <w:rPr>
          <w:rFonts w:ascii="Times New Roman" w:hAnsi="Times New Roman" w:cs="Times New Roman"/>
          <w:bCs/>
        </w:rPr>
        <w:t xml:space="preserve"> </w:t>
      </w:r>
    </w:p>
    <w:p w14:paraId="221CAD7B" w14:textId="77777777" w:rsidR="007C6EE8" w:rsidRDefault="007C6EE8" w:rsidP="007C6EE8">
      <w:pPr>
        <w:spacing w:after="0" w:line="240" w:lineRule="auto"/>
        <w:jc w:val="center"/>
        <w:rPr>
          <w:rFonts w:ascii="Times New Roman" w:hAnsi="Times New Roman" w:cs="Times New Roman"/>
          <w:b/>
        </w:rPr>
      </w:pPr>
    </w:p>
    <w:p w14:paraId="41381130" w14:textId="77777777" w:rsidR="007C6EE8" w:rsidRDefault="007C6EE8" w:rsidP="007C6EE8">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 xml:space="preserve">(one year ahead) </w:t>
      </w:r>
      <w:r w:rsidRPr="00ED330C">
        <w:rPr>
          <w:rFonts w:ascii="Times New Roman" w:hAnsi="Times New Roman" w:cs="Times New Roman"/>
          <w:b/>
        </w:rPr>
        <w:t xml:space="preserve">- mean probability </w:t>
      </w:r>
      <w:r>
        <w:rPr>
          <w:rFonts w:ascii="Times New Roman" w:hAnsi="Times New Roman" w:cs="Times New Roman"/>
          <w:b/>
        </w:rPr>
        <w:t xml:space="preserve">(%) </w:t>
      </w:r>
      <w:r w:rsidRPr="00ED330C">
        <w:rPr>
          <w:rFonts w:ascii="Times New Roman" w:hAnsi="Times New Roman" w:cs="Times New Roman"/>
          <w:b/>
        </w:rPr>
        <w:t>distribution</w:t>
      </w:r>
    </w:p>
    <w:p w14:paraId="1EF83F8C" w14:textId="77777777" w:rsidR="007C6EE8" w:rsidRDefault="007C6EE8" w:rsidP="007C6EE8">
      <w:pPr>
        <w:tabs>
          <w:tab w:val="left" w:pos="495"/>
        </w:tabs>
        <w:spacing w:after="0" w:line="240" w:lineRule="auto"/>
        <w:rPr>
          <w:noProof/>
          <w:lang w:val="en-US"/>
        </w:rPr>
      </w:pPr>
      <w:r>
        <w:rPr>
          <w:noProof/>
          <w:lang w:val="en-US"/>
        </w:rPr>
        <w:tab/>
      </w:r>
    </w:p>
    <w:p w14:paraId="306826A7" w14:textId="6A7533E8" w:rsidR="00474E83" w:rsidRDefault="008947B5" w:rsidP="007C6EE8">
      <w:pPr>
        <w:tabs>
          <w:tab w:val="left" w:pos="495"/>
        </w:tabs>
        <w:spacing w:after="0" w:line="240" w:lineRule="auto"/>
        <w:jc w:val="center"/>
        <w:rPr>
          <w:noProof/>
          <w:lang w:val="en-US"/>
        </w:rPr>
      </w:pPr>
      <w:r>
        <w:rPr>
          <w:noProof/>
          <w:lang w:eastAsia="en-IN"/>
        </w:rPr>
        <w:drawing>
          <wp:inline distT="0" distB="0" distL="0" distR="0" wp14:anchorId="2D552ABE" wp14:editId="656E3CFA">
            <wp:extent cx="5210175" cy="22383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8CF51C" w14:textId="1C9EBD9C" w:rsidR="008947B5" w:rsidRDefault="008947B5" w:rsidP="00AA63A1">
      <w:pPr>
        <w:spacing w:after="0" w:line="240" w:lineRule="auto"/>
        <w:rPr>
          <w:rFonts w:ascii="Times New Roman" w:hAnsi="Times New Roman" w:cs="Times New Roman"/>
          <w:b/>
          <w:bCs/>
        </w:rPr>
      </w:pPr>
    </w:p>
    <w:p w14:paraId="32E564A0" w14:textId="3610E77A"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160018B0" w14:textId="77777777" w:rsidR="00E0056C" w:rsidRDefault="00E0056C" w:rsidP="00AA63A1">
      <w:pPr>
        <w:spacing w:after="0" w:line="240" w:lineRule="auto"/>
        <w:rPr>
          <w:rFonts w:ascii="Times New Roman" w:hAnsi="Times New Roman" w:cs="Times New Roman"/>
          <w:b/>
          <w:bCs/>
        </w:rPr>
      </w:pPr>
    </w:p>
    <w:p w14:paraId="31C3E409" w14:textId="77777777" w:rsidR="00D73AF0" w:rsidRDefault="00F711D3" w:rsidP="00F711D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61% </w:t>
      </w:r>
      <w:r w:rsidRPr="004442DD">
        <w:rPr>
          <w:rFonts w:ascii="Times New Roman" w:hAnsi="Times New Roman" w:cs="Times New Roman"/>
        </w:rPr>
        <w:t xml:space="preserve">of the firms in </w:t>
      </w:r>
      <w:r>
        <w:rPr>
          <w:rFonts w:ascii="Times New Roman" w:hAnsi="Times New Roman" w:cs="Times New Roman"/>
        </w:rPr>
        <w:t>December</w:t>
      </w:r>
      <w:r w:rsidRPr="004442DD">
        <w:rPr>
          <w:rFonts w:ascii="Times New Roman" w:hAnsi="Times New Roman" w:cs="Times New Roman"/>
        </w:rPr>
        <w:t xml:space="preserve"> 2018 reported that increase in costs has been more than 3% </w:t>
      </w:r>
      <w:r>
        <w:rPr>
          <w:rFonts w:ascii="Times New Roman" w:hAnsi="Times New Roman" w:cs="Times New Roman"/>
        </w:rPr>
        <w:t xml:space="preserve">(marginally up from </w:t>
      </w:r>
      <w:r w:rsidRPr="004442DD">
        <w:rPr>
          <w:rFonts w:ascii="Times New Roman" w:hAnsi="Times New Roman" w:cs="Times New Roman"/>
        </w:rPr>
        <w:t xml:space="preserve">around </w:t>
      </w:r>
      <w:r>
        <w:rPr>
          <w:rFonts w:ascii="Times New Roman" w:hAnsi="Times New Roman" w:cs="Times New Roman"/>
        </w:rPr>
        <w:t xml:space="preserve">60% in November 2018)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851B7C">
        <w:rPr>
          <w:rFonts w:ascii="Times New Roman" w:hAnsi="Times New Roman" w:cs="Times New Roman"/>
        </w:rPr>
        <w:t>3</w:t>
      </w:r>
      <w:r w:rsidRPr="004442DD">
        <w:rPr>
          <w:rFonts w:ascii="Times New Roman" w:hAnsi="Times New Roman" w:cs="Times New Roman"/>
        </w:rPr>
        <w:t xml:space="preserve">). </w:t>
      </w:r>
    </w:p>
    <w:p w14:paraId="541D6637" w14:textId="77777777" w:rsidR="00D73AF0" w:rsidRDefault="00D73AF0" w:rsidP="00D73AF0">
      <w:pPr>
        <w:pStyle w:val="ListParagraph"/>
        <w:spacing w:after="0" w:line="240" w:lineRule="auto"/>
        <w:jc w:val="both"/>
        <w:rPr>
          <w:rFonts w:ascii="Times New Roman" w:hAnsi="Times New Roman" w:cs="Times New Roman"/>
        </w:rPr>
      </w:pPr>
    </w:p>
    <w:p w14:paraId="7CBAA55C" w14:textId="284AAEB7" w:rsidR="00F711D3" w:rsidRDefault="00F711D3" w:rsidP="00F711D3">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The proportion of firms perceiving significant cost increase </w:t>
      </w:r>
      <w:r>
        <w:rPr>
          <w:rFonts w:ascii="Times New Roman" w:hAnsi="Times New Roman" w:cs="Times New Roman"/>
        </w:rPr>
        <w:t xml:space="preserve">in December 2018 </w:t>
      </w:r>
      <w:r w:rsidRPr="004442DD">
        <w:rPr>
          <w:rFonts w:ascii="Times New Roman" w:hAnsi="Times New Roman" w:cs="Times New Roman"/>
        </w:rPr>
        <w:t xml:space="preserve">has </w:t>
      </w:r>
      <w:r>
        <w:rPr>
          <w:rFonts w:ascii="Times New Roman" w:hAnsi="Times New Roman" w:cs="Times New Roman"/>
        </w:rPr>
        <w:t>declined to 27% as compared to 34% in November 2018.</w:t>
      </w:r>
    </w:p>
    <w:p w14:paraId="0A65F593" w14:textId="01D766E6" w:rsidR="004442DD" w:rsidRPr="004442DD" w:rsidRDefault="005F50CA" w:rsidP="005F50CA">
      <w:pPr>
        <w:pStyle w:val="ListParagraph"/>
        <w:spacing w:after="0" w:line="240" w:lineRule="auto"/>
        <w:jc w:val="both"/>
        <w:rPr>
          <w:rFonts w:ascii="Times New Roman" w:hAnsi="Times New Roman" w:cs="Times New Roman"/>
        </w:rPr>
      </w:pPr>
      <w:r w:rsidRPr="004442DD">
        <w:rPr>
          <w:rFonts w:ascii="Times New Roman" w:hAnsi="Times New Roman" w:cs="Times New Roman"/>
        </w:rPr>
        <w:t xml:space="preserve"> </w:t>
      </w:r>
    </w:p>
    <w:p w14:paraId="4A09BD89" w14:textId="4863D23A"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655B50">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77777777" w:rsidR="006819F0" w:rsidRDefault="006819F0" w:rsidP="00AA63A1">
      <w:pPr>
        <w:spacing w:after="0" w:line="240" w:lineRule="auto"/>
        <w:jc w:val="center"/>
        <w:rPr>
          <w:rFonts w:ascii="Times New Roman" w:hAnsi="Times New Roman" w:cs="Times New Roman"/>
          <w:b/>
          <w:bCs/>
          <w:lang w:val="en-US"/>
        </w:rPr>
      </w:pPr>
    </w:p>
    <w:p w14:paraId="2990F1BF" w14:textId="30B03B9F" w:rsidR="00CB1B55" w:rsidRDefault="00CB1B55" w:rsidP="00D8081E">
      <w:pPr>
        <w:spacing w:after="0" w:line="240" w:lineRule="auto"/>
        <w:jc w:val="center"/>
        <w:rPr>
          <w:noProof/>
          <w:lang w:eastAsia="en-IN" w:bidi="hi-IN"/>
        </w:rPr>
      </w:pPr>
      <w:r>
        <w:rPr>
          <w:noProof/>
          <w:lang w:eastAsia="en-IN"/>
        </w:rPr>
        <w:drawing>
          <wp:inline distT="0" distB="0" distL="0" distR="0" wp14:anchorId="26F67110" wp14:editId="37377215">
            <wp:extent cx="5219700" cy="22193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EC2331" w14:textId="77777777" w:rsidR="00D8081E" w:rsidRPr="00D8081E" w:rsidRDefault="00D8081E" w:rsidP="00D8081E">
      <w:pPr>
        <w:spacing w:after="0" w:line="240" w:lineRule="auto"/>
        <w:jc w:val="center"/>
        <w:rPr>
          <w:noProof/>
          <w:lang w:eastAsia="en-IN" w:bidi="hi-IN"/>
        </w:rPr>
      </w:pP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53C9B111" w14:textId="6C09D49E" w:rsidR="00F711D3" w:rsidRPr="005E6503" w:rsidRDefault="00F711D3" w:rsidP="00F711D3">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lastRenderedPageBreak/>
        <w:t xml:space="preserve">Nearly </w:t>
      </w:r>
      <w:r w:rsidR="00F85E53">
        <w:rPr>
          <w:rFonts w:ascii="Times New Roman" w:hAnsi="Times New Roman" w:cs="Times New Roman"/>
        </w:rPr>
        <w:t>56%</w:t>
      </w:r>
      <w:r>
        <w:rPr>
          <w:rFonts w:ascii="Times New Roman" w:hAnsi="Times New Roman" w:cs="Times New Roman"/>
        </w:rPr>
        <w:t xml:space="preserve"> </w:t>
      </w:r>
      <w:r w:rsidRPr="001655AC">
        <w:rPr>
          <w:rFonts w:ascii="Times New Roman" w:hAnsi="Times New Roman" w:cs="Times New Roman"/>
        </w:rPr>
        <w:t>of the firms in the sample reported that sales are ‘</w:t>
      </w:r>
      <w:r>
        <w:rPr>
          <w:rFonts w:ascii="Times New Roman" w:hAnsi="Times New Roman" w:cs="Times New Roman"/>
        </w:rPr>
        <w:t xml:space="preserve">somewhat or much less </w:t>
      </w:r>
      <w:r w:rsidRPr="001655AC">
        <w:rPr>
          <w:rFonts w:ascii="Times New Roman" w:hAnsi="Times New Roman" w:cs="Times New Roman"/>
        </w:rPr>
        <w:t>than normal’</w:t>
      </w:r>
      <w:r>
        <w:rPr>
          <w:rStyle w:val="FootnoteReference"/>
          <w:rFonts w:ascii="Times New Roman" w:hAnsi="Times New Roman" w:cs="Times New Roman"/>
        </w:rPr>
        <w:footnoteReference w:id="1"/>
      </w:r>
      <w:r w:rsidRPr="001655AC">
        <w:rPr>
          <w:rFonts w:ascii="Times New Roman" w:hAnsi="Times New Roman" w:cs="Times New Roman"/>
        </w:rPr>
        <w:t xml:space="preserve"> </w:t>
      </w:r>
      <w:r>
        <w:rPr>
          <w:rFonts w:ascii="Times New Roman" w:hAnsi="Times New Roman" w:cs="Times New Roman"/>
        </w:rPr>
        <w:t xml:space="preserve"> </w:t>
      </w:r>
      <w:r w:rsidRPr="001655AC">
        <w:rPr>
          <w:rFonts w:ascii="Times New Roman" w:hAnsi="Times New Roman" w:cs="Times New Roman"/>
        </w:rPr>
        <w:t xml:space="preserve">in </w:t>
      </w:r>
      <w:r w:rsidR="00F85E53">
        <w:rPr>
          <w:rFonts w:ascii="Times New Roman" w:hAnsi="Times New Roman" w:cs="Times New Roman"/>
        </w:rPr>
        <w:t>Dece</w:t>
      </w:r>
      <w:r>
        <w:rPr>
          <w:rFonts w:ascii="Times New Roman" w:hAnsi="Times New Roman" w:cs="Times New Roman"/>
        </w:rPr>
        <w:t>mber</w:t>
      </w:r>
      <w:r w:rsidRPr="001655AC">
        <w:rPr>
          <w:rFonts w:ascii="Times New Roman" w:hAnsi="Times New Roman" w:cs="Times New Roman"/>
        </w:rPr>
        <w:t xml:space="preserve"> 2018 (Chart </w:t>
      </w:r>
      <w:r w:rsidR="00851B7C">
        <w:rPr>
          <w:rFonts w:ascii="Times New Roman" w:hAnsi="Times New Roman" w:cs="Times New Roman"/>
        </w:rPr>
        <w:t>4</w:t>
      </w:r>
      <w:r w:rsidRPr="001655AC">
        <w:rPr>
          <w:rFonts w:ascii="Times New Roman" w:hAnsi="Times New Roman" w:cs="Times New Roman"/>
        </w:rPr>
        <w:t xml:space="preserve">). </w:t>
      </w:r>
      <w:r w:rsidR="00F85E53">
        <w:rPr>
          <w:rFonts w:ascii="Times New Roman" w:hAnsi="Times New Roman" w:cs="Times New Roman"/>
        </w:rPr>
        <w:t>However, the</w:t>
      </w:r>
      <w:r w:rsidRPr="001655AC">
        <w:rPr>
          <w:rFonts w:ascii="Times New Roman" w:hAnsi="Times New Roman" w:cs="Times New Roman"/>
        </w:rPr>
        <w:t xml:space="preserve"> proportion </w:t>
      </w:r>
      <w:r w:rsidR="00F85E53">
        <w:rPr>
          <w:rFonts w:ascii="Times New Roman" w:hAnsi="Times New Roman" w:cs="Times New Roman"/>
        </w:rPr>
        <w:t>of firms</w:t>
      </w:r>
      <w:r w:rsidR="007469EF">
        <w:rPr>
          <w:rFonts w:ascii="Times New Roman" w:hAnsi="Times New Roman" w:cs="Times New Roman"/>
        </w:rPr>
        <w:t xml:space="preserve"> that</w:t>
      </w:r>
      <w:r w:rsidR="00F85E53">
        <w:rPr>
          <w:rFonts w:ascii="Times New Roman" w:hAnsi="Times New Roman" w:cs="Times New Roman"/>
        </w:rPr>
        <w:t xml:space="preserve"> reported ‘much less than normal’ </w:t>
      </w:r>
      <w:r w:rsidR="00E505C6">
        <w:rPr>
          <w:rFonts w:ascii="Times New Roman" w:hAnsi="Times New Roman" w:cs="Times New Roman"/>
        </w:rPr>
        <w:t xml:space="preserve">sales </w:t>
      </w:r>
      <w:r w:rsidRPr="001655AC">
        <w:rPr>
          <w:rFonts w:ascii="Times New Roman" w:hAnsi="Times New Roman" w:cs="Times New Roman"/>
        </w:rPr>
        <w:t xml:space="preserve">has </w:t>
      </w:r>
      <w:r w:rsidR="00F85E53">
        <w:rPr>
          <w:rFonts w:ascii="Times New Roman" w:hAnsi="Times New Roman" w:cs="Times New Roman"/>
        </w:rPr>
        <w:t>declined sharply in December 2018</w:t>
      </w:r>
      <w:r>
        <w:rPr>
          <w:rFonts w:ascii="Times New Roman" w:hAnsi="Times New Roman" w:cs="Times New Roman"/>
        </w:rPr>
        <w:t xml:space="preserve">.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37A8460D"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655B50">
        <w:rPr>
          <w:rFonts w:ascii="Times New Roman" w:hAnsi="Times New Roman" w:cs="Times New Roman"/>
          <w:b/>
          <w:bCs/>
        </w:rPr>
        <w:t>4</w:t>
      </w:r>
      <w:r w:rsidRPr="001D09C4">
        <w:rPr>
          <w:rFonts w:ascii="Times New Roman" w:hAnsi="Times New Roman" w:cs="Times New Roman"/>
          <w:b/>
          <w:bCs/>
        </w:rPr>
        <w:t>: Sales Levels - % response</w:t>
      </w:r>
    </w:p>
    <w:p w14:paraId="09C3B307" w14:textId="77777777" w:rsidR="005E6503" w:rsidRDefault="005E6503" w:rsidP="003742DC">
      <w:pPr>
        <w:pStyle w:val="ListParagraph"/>
        <w:spacing w:after="0" w:line="240" w:lineRule="auto"/>
        <w:jc w:val="center"/>
        <w:rPr>
          <w:rFonts w:ascii="Times New Roman" w:hAnsi="Times New Roman" w:cs="Times New Roman"/>
          <w:b/>
          <w:bCs/>
        </w:rPr>
      </w:pPr>
    </w:p>
    <w:p w14:paraId="7123F1B2" w14:textId="6DB4AA52" w:rsidR="005821F6" w:rsidRDefault="00F85E53" w:rsidP="005E6503">
      <w:pPr>
        <w:spacing w:after="0" w:line="240" w:lineRule="auto"/>
        <w:ind w:left="720"/>
        <w:jc w:val="center"/>
        <w:rPr>
          <w:noProof/>
          <w:lang w:eastAsia="en-IN" w:bidi="hi-IN"/>
        </w:rPr>
      </w:pPr>
      <w:r>
        <w:rPr>
          <w:noProof/>
          <w:lang w:eastAsia="en-IN"/>
        </w:rPr>
        <w:drawing>
          <wp:inline distT="0" distB="0" distL="0" distR="0" wp14:anchorId="46F7059F" wp14:editId="2A4C1578">
            <wp:extent cx="5029200" cy="23145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25CAAF" w14:textId="0B7A7E13" w:rsidR="00AE5679" w:rsidRDefault="00AE5679" w:rsidP="005E6503">
      <w:pPr>
        <w:spacing w:after="0" w:line="240" w:lineRule="auto"/>
        <w:ind w:left="720"/>
        <w:jc w:val="center"/>
        <w:rPr>
          <w:noProof/>
          <w:lang w:eastAsia="en-IN" w:bidi="hi-IN"/>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5BCC1623" w14:textId="3C26E104" w:rsidR="003742DC" w:rsidRPr="006F2CB4" w:rsidRDefault="00F85E53" w:rsidP="00F51D5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proportion of firms </w:t>
      </w:r>
      <w:r w:rsidR="00AC57A8">
        <w:rPr>
          <w:rFonts w:ascii="Times New Roman" w:hAnsi="Times New Roman" w:cs="Times New Roman"/>
        </w:rPr>
        <w:t xml:space="preserve">in the sample </w:t>
      </w:r>
      <w:r>
        <w:rPr>
          <w:rFonts w:ascii="Times New Roman" w:hAnsi="Times New Roman" w:cs="Times New Roman"/>
        </w:rPr>
        <w:t xml:space="preserve">reporting </w:t>
      </w:r>
      <w:r w:rsidRPr="006F2CB4">
        <w:rPr>
          <w:rFonts w:ascii="Times New Roman" w:hAnsi="Times New Roman" w:cs="Times New Roman"/>
        </w:rPr>
        <w:t xml:space="preserve">‘much less than normal’ profit margins </w:t>
      </w:r>
      <w:r w:rsidR="00AC57A8">
        <w:rPr>
          <w:rFonts w:ascii="Times New Roman" w:hAnsi="Times New Roman" w:cs="Times New Roman"/>
        </w:rPr>
        <w:t xml:space="preserve">has declined sharply to 37% in December 2018 from </w:t>
      </w:r>
      <w:r w:rsidR="006F2CB4" w:rsidRPr="006F2CB4">
        <w:rPr>
          <w:rFonts w:ascii="Times New Roman" w:hAnsi="Times New Roman" w:cs="Times New Roman"/>
        </w:rPr>
        <w:t>46% in November 2018</w:t>
      </w:r>
      <w:r w:rsidR="00AC57A8">
        <w:rPr>
          <w:rFonts w:ascii="Times New Roman" w:hAnsi="Times New Roman" w:cs="Times New Roman"/>
        </w:rPr>
        <w:t xml:space="preserve"> </w:t>
      </w:r>
      <w:r w:rsidR="00AC57A8" w:rsidRPr="006F2CB4">
        <w:rPr>
          <w:rFonts w:ascii="Times New Roman" w:hAnsi="Times New Roman" w:cs="Times New Roman"/>
        </w:rPr>
        <w:t xml:space="preserve">(Chart </w:t>
      </w:r>
      <w:r w:rsidR="00AC57A8">
        <w:rPr>
          <w:rFonts w:ascii="Times New Roman" w:hAnsi="Times New Roman" w:cs="Times New Roman"/>
        </w:rPr>
        <w:t>5</w:t>
      </w:r>
      <w:r w:rsidR="00AC57A8" w:rsidRPr="006F2CB4">
        <w:rPr>
          <w:rFonts w:ascii="Times New Roman" w:hAnsi="Times New Roman" w:cs="Times New Roman"/>
        </w:rPr>
        <w:t>)</w:t>
      </w:r>
      <w:r w:rsidR="00AC57A8">
        <w:rPr>
          <w:rFonts w:ascii="Times New Roman" w:hAnsi="Times New Roman" w:cs="Times New Roman"/>
        </w:rPr>
        <w:t>.</w:t>
      </w:r>
      <w:r w:rsidR="006F2CB4" w:rsidRPr="006F2CB4">
        <w:rPr>
          <w:rFonts w:ascii="Times New Roman" w:hAnsi="Times New Roman" w:cs="Times New Roman"/>
        </w:rPr>
        <w:t xml:space="preserve"> </w:t>
      </w:r>
      <w:r w:rsidR="00AC57A8">
        <w:rPr>
          <w:rFonts w:ascii="Times New Roman" w:hAnsi="Times New Roman" w:cs="Times New Roman"/>
        </w:rPr>
        <w:t>This is primarily due to the increase in the p</w:t>
      </w:r>
      <w:r w:rsidR="006F2CB4" w:rsidRPr="006F2CB4">
        <w:rPr>
          <w:rFonts w:ascii="Times New Roman" w:hAnsi="Times New Roman" w:cs="Times New Roman"/>
        </w:rPr>
        <w:t xml:space="preserve">roportion of firms reporting ‘normal’ profit </w:t>
      </w:r>
      <w:r w:rsidR="00AC57A8">
        <w:rPr>
          <w:rFonts w:ascii="Times New Roman" w:hAnsi="Times New Roman" w:cs="Times New Roman"/>
        </w:rPr>
        <w:t>in December 2018.</w:t>
      </w:r>
    </w:p>
    <w:p w14:paraId="6D275A30" w14:textId="77777777" w:rsidR="006F2CB4" w:rsidRDefault="006F2CB4" w:rsidP="00273D5F">
      <w:pPr>
        <w:spacing w:after="0" w:line="240" w:lineRule="auto"/>
        <w:ind w:left="360"/>
        <w:jc w:val="center"/>
        <w:rPr>
          <w:rFonts w:ascii="Times New Roman" w:hAnsi="Times New Roman" w:cs="Times New Roman"/>
          <w:b/>
          <w:bCs/>
          <w:lang w:val="en-US" w:bidi="hi-IN"/>
        </w:rPr>
      </w:pPr>
    </w:p>
    <w:p w14:paraId="2376A4BA" w14:textId="5C5AA1A2"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655B50">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14:paraId="1BF7B3DF" w14:textId="77777777" w:rsidR="00F85E53" w:rsidRDefault="00F85E53" w:rsidP="00273D5F">
      <w:pPr>
        <w:spacing w:after="0" w:line="240" w:lineRule="auto"/>
        <w:ind w:left="360"/>
        <w:jc w:val="center"/>
        <w:rPr>
          <w:rFonts w:ascii="Times New Roman" w:hAnsi="Times New Roman" w:cs="Times New Roman"/>
          <w:b/>
          <w:bCs/>
          <w:lang w:val="en-US" w:bidi="hi-IN"/>
        </w:rPr>
      </w:pPr>
    </w:p>
    <w:p w14:paraId="4E38F577" w14:textId="70FCFBD7" w:rsidR="00AE5679" w:rsidRDefault="001A768F" w:rsidP="00273D5F">
      <w:pPr>
        <w:spacing w:after="0" w:line="240" w:lineRule="auto"/>
        <w:ind w:left="360"/>
        <w:jc w:val="center"/>
        <w:rPr>
          <w:noProof/>
          <w:lang w:eastAsia="en-IN" w:bidi="hi-IN"/>
        </w:rPr>
      </w:pPr>
      <w:r>
        <w:rPr>
          <w:noProof/>
          <w:lang w:eastAsia="en-IN"/>
        </w:rPr>
        <w:drawing>
          <wp:inline distT="0" distB="0" distL="0" distR="0" wp14:anchorId="345659BF" wp14:editId="744ED466">
            <wp:extent cx="5266055" cy="2447925"/>
            <wp:effectExtent l="0" t="0" r="1079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FCE3DF" w14:textId="77777777" w:rsidR="00D8081E" w:rsidRDefault="00D8081E" w:rsidP="00410FBB">
      <w:pPr>
        <w:spacing w:after="0" w:line="240" w:lineRule="auto"/>
        <w:jc w:val="center"/>
        <w:rPr>
          <w:rFonts w:ascii="Times New Roman" w:hAnsi="Times New Roman" w:cs="Times New Roman"/>
          <w:b/>
          <w:sz w:val="28"/>
          <w:szCs w:val="28"/>
        </w:rPr>
      </w:pPr>
    </w:p>
    <w:p w14:paraId="02181364" w14:textId="77777777" w:rsidR="00D8081E" w:rsidRDefault="00D8081E" w:rsidP="00410FBB">
      <w:pPr>
        <w:spacing w:after="0" w:line="240" w:lineRule="auto"/>
        <w:jc w:val="center"/>
        <w:rPr>
          <w:rFonts w:ascii="Times New Roman" w:hAnsi="Times New Roman" w:cs="Times New Roman"/>
          <w:b/>
          <w:sz w:val="28"/>
          <w:szCs w:val="28"/>
        </w:rPr>
      </w:pPr>
    </w:p>
    <w:p w14:paraId="5E569FA1" w14:textId="0838962D" w:rsidR="00D8081E" w:rsidRDefault="00D8081E" w:rsidP="00410F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THE END - </w:t>
      </w:r>
    </w:p>
    <w:p w14:paraId="43C8B5F4" w14:textId="77777777" w:rsidR="00D8081E" w:rsidRDefault="00D8081E" w:rsidP="00410FBB">
      <w:pPr>
        <w:spacing w:after="0" w:line="240" w:lineRule="auto"/>
        <w:jc w:val="center"/>
        <w:rPr>
          <w:rFonts w:ascii="Times New Roman" w:hAnsi="Times New Roman" w:cs="Times New Roman"/>
          <w:b/>
          <w:sz w:val="28"/>
          <w:szCs w:val="28"/>
        </w:rPr>
      </w:pPr>
    </w:p>
    <w:p w14:paraId="78ECF68F" w14:textId="77777777" w:rsidR="00D8081E" w:rsidRDefault="00D8081E" w:rsidP="00410FBB">
      <w:pPr>
        <w:spacing w:after="0" w:line="240" w:lineRule="auto"/>
        <w:jc w:val="center"/>
        <w:rPr>
          <w:rFonts w:ascii="Times New Roman" w:hAnsi="Times New Roman" w:cs="Times New Roman"/>
          <w:b/>
          <w:sz w:val="28"/>
          <w:szCs w:val="28"/>
        </w:rPr>
      </w:pPr>
    </w:p>
    <w:p w14:paraId="599D7B18" w14:textId="77777777" w:rsidR="00D8081E" w:rsidRDefault="00D8081E" w:rsidP="00410FBB">
      <w:pPr>
        <w:spacing w:after="0" w:line="240" w:lineRule="auto"/>
        <w:jc w:val="center"/>
        <w:rPr>
          <w:rFonts w:ascii="Times New Roman" w:hAnsi="Times New Roman" w:cs="Times New Roman"/>
          <w:b/>
          <w:sz w:val="28"/>
          <w:szCs w:val="28"/>
        </w:rPr>
      </w:pPr>
    </w:p>
    <w:p w14:paraId="3C0EC55A" w14:textId="23BCDB5F"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D8081E">
      <w:headerReference w:type="default" r:id="rId15"/>
      <w:footerReference w:type="default" r:id="rId16"/>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A002A" w14:textId="77777777" w:rsidR="00635E9A" w:rsidRDefault="00635E9A" w:rsidP="00B81990">
      <w:pPr>
        <w:spacing w:after="0" w:line="240" w:lineRule="auto"/>
      </w:pPr>
      <w:r>
        <w:separator/>
      </w:r>
    </w:p>
  </w:endnote>
  <w:endnote w:type="continuationSeparator" w:id="0">
    <w:p w14:paraId="62EFAFF6" w14:textId="77777777" w:rsidR="00635E9A" w:rsidRDefault="00635E9A"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55B40CB3" w:rsidR="00E0056C" w:rsidRPr="003705BC" w:rsidRDefault="00E0056C">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9237F4">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E0056C" w:rsidRDefault="00E00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502B" w14:textId="77777777" w:rsidR="00635E9A" w:rsidRDefault="00635E9A" w:rsidP="00B81990">
      <w:pPr>
        <w:spacing w:after="0" w:line="240" w:lineRule="auto"/>
      </w:pPr>
      <w:r>
        <w:separator/>
      </w:r>
    </w:p>
  </w:footnote>
  <w:footnote w:type="continuationSeparator" w:id="0">
    <w:p w14:paraId="1F4E1B62" w14:textId="77777777" w:rsidR="00635E9A" w:rsidRDefault="00635E9A" w:rsidP="00B81990">
      <w:pPr>
        <w:spacing w:after="0" w:line="240" w:lineRule="auto"/>
      </w:pPr>
      <w:r>
        <w:continuationSeparator/>
      </w:r>
    </w:p>
  </w:footnote>
  <w:footnote w:id="1">
    <w:p w14:paraId="7B9AC392" w14:textId="77777777" w:rsidR="00F711D3" w:rsidRPr="00727F1A" w:rsidRDefault="00F711D3" w:rsidP="00F711D3">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7B4DB58A" w14:textId="77777777" w:rsidR="00F711D3" w:rsidRDefault="00F711D3" w:rsidP="00F711D3">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11AE0DD8" w:rsidR="00E0056C" w:rsidRDefault="00E0056C"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C390A"/>
    <w:rsid w:val="000D169A"/>
    <w:rsid w:val="000D2DBD"/>
    <w:rsid w:val="000D5B12"/>
    <w:rsid w:val="000D5EC6"/>
    <w:rsid w:val="000E4289"/>
    <w:rsid w:val="000E42F3"/>
    <w:rsid w:val="000E6AFE"/>
    <w:rsid w:val="000E7FF9"/>
    <w:rsid w:val="000F1DBA"/>
    <w:rsid w:val="000F6AE1"/>
    <w:rsid w:val="00102074"/>
    <w:rsid w:val="001158B6"/>
    <w:rsid w:val="00117EA6"/>
    <w:rsid w:val="00151017"/>
    <w:rsid w:val="0016283C"/>
    <w:rsid w:val="001655AC"/>
    <w:rsid w:val="00166A4E"/>
    <w:rsid w:val="00173637"/>
    <w:rsid w:val="00180A28"/>
    <w:rsid w:val="00193978"/>
    <w:rsid w:val="00195BE5"/>
    <w:rsid w:val="00196273"/>
    <w:rsid w:val="001A6746"/>
    <w:rsid w:val="001A768F"/>
    <w:rsid w:val="001B6932"/>
    <w:rsid w:val="001C3CD1"/>
    <w:rsid w:val="001C51A0"/>
    <w:rsid w:val="001D09C4"/>
    <w:rsid w:val="001D528C"/>
    <w:rsid w:val="001E1067"/>
    <w:rsid w:val="001E3345"/>
    <w:rsid w:val="001E4459"/>
    <w:rsid w:val="001E6B4A"/>
    <w:rsid w:val="001E70EB"/>
    <w:rsid w:val="00204D14"/>
    <w:rsid w:val="0021734F"/>
    <w:rsid w:val="00221CD4"/>
    <w:rsid w:val="002232C2"/>
    <w:rsid w:val="002267FF"/>
    <w:rsid w:val="00227966"/>
    <w:rsid w:val="00231EFD"/>
    <w:rsid w:val="00232F2E"/>
    <w:rsid w:val="002528D0"/>
    <w:rsid w:val="0025352C"/>
    <w:rsid w:val="00260665"/>
    <w:rsid w:val="00271E01"/>
    <w:rsid w:val="00272D72"/>
    <w:rsid w:val="00273D5F"/>
    <w:rsid w:val="00274379"/>
    <w:rsid w:val="002875EA"/>
    <w:rsid w:val="00291B83"/>
    <w:rsid w:val="002A1AB4"/>
    <w:rsid w:val="002A1D6C"/>
    <w:rsid w:val="002A2879"/>
    <w:rsid w:val="002B08C2"/>
    <w:rsid w:val="002B2E73"/>
    <w:rsid w:val="002B7E20"/>
    <w:rsid w:val="002C552F"/>
    <w:rsid w:val="002C7882"/>
    <w:rsid w:val="002E5927"/>
    <w:rsid w:val="002F048F"/>
    <w:rsid w:val="00302FBC"/>
    <w:rsid w:val="00310E5B"/>
    <w:rsid w:val="0031287C"/>
    <w:rsid w:val="003204B3"/>
    <w:rsid w:val="00320A9D"/>
    <w:rsid w:val="00322121"/>
    <w:rsid w:val="003225AA"/>
    <w:rsid w:val="00322887"/>
    <w:rsid w:val="003267C1"/>
    <w:rsid w:val="00332D92"/>
    <w:rsid w:val="00337BA5"/>
    <w:rsid w:val="00343E59"/>
    <w:rsid w:val="003510A7"/>
    <w:rsid w:val="0035640B"/>
    <w:rsid w:val="00360057"/>
    <w:rsid w:val="003705BC"/>
    <w:rsid w:val="003721D6"/>
    <w:rsid w:val="003727D0"/>
    <w:rsid w:val="003742DC"/>
    <w:rsid w:val="00376B5A"/>
    <w:rsid w:val="00380E7C"/>
    <w:rsid w:val="00381F13"/>
    <w:rsid w:val="003A04E1"/>
    <w:rsid w:val="003A3F72"/>
    <w:rsid w:val="003B3A67"/>
    <w:rsid w:val="003B45EB"/>
    <w:rsid w:val="003B4A6B"/>
    <w:rsid w:val="003D7A28"/>
    <w:rsid w:val="003E1B2E"/>
    <w:rsid w:val="003E289D"/>
    <w:rsid w:val="003E2EFE"/>
    <w:rsid w:val="003E6255"/>
    <w:rsid w:val="003E6597"/>
    <w:rsid w:val="003E6C3E"/>
    <w:rsid w:val="003F35DA"/>
    <w:rsid w:val="003F5777"/>
    <w:rsid w:val="003F66AD"/>
    <w:rsid w:val="004067A9"/>
    <w:rsid w:val="00407044"/>
    <w:rsid w:val="00410FBB"/>
    <w:rsid w:val="00413AF7"/>
    <w:rsid w:val="00417300"/>
    <w:rsid w:val="004239D7"/>
    <w:rsid w:val="00423FE2"/>
    <w:rsid w:val="00424D9F"/>
    <w:rsid w:val="00431952"/>
    <w:rsid w:val="00433F9F"/>
    <w:rsid w:val="00436CA1"/>
    <w:rsid w:val="004412D2"/>
    <w:rsid w:val="004442DD"/>
    <w:rsid w:val="004545A1"/>
    <w:rsid w:val="00455861"/>
    <w:rsid w:val="00466183"/>
    <w:rsid w:val="00470DD7"/>
    <w:rsid w:val="00474E83"/>
    <w:rsid w:val="004770FA"/>
    <w:rsid w:val="004863C9"/>
    <w:rsid w:val="0049521A"/>
    <w:rsid w:val="004A0C11"/>
    <w:rsid w:val="004A30A9"/>
    <w:rsid w:val="004A5ABA"/>
    <w:rsid w:val="004B0842"/>
    <w:rsid w:val="004C6586"/>
    <w:rsid w:val="004C6A56"/>
    <w:rsid w:val="004D05D3"/>
    <w:rsid w:val="004D357B"/>
    <w:rsid w:val="00502A3B"/>
    <w:rsid w:val="0052567E"/>
    <w:rsid w:val="00531C53"/>
    <w:rsid w:val="00537192"/>
    <w:rsid w:val="00541C3C"/>
    <w:rsid w:val="00564E29"/>
    <w:rsid w:val="00571578"/>
    <w:rsid w:val="005814E3"/>
    <w:rsid w:val="005821F6"/>
    <w:rsid w:val="00583611"/>
    <w:rsid w:val="00584765"/>
    <w:rsid w:val="005866CC"/>
    <w:rsid w:val="005932E6"/>
    <w:rsid w:val="005A2E91"/>
    <w:rsid w:val="005B3E50"/>
    <w:rsid w:val="005C067D"/>
    <w:rsid w:val="005C2FB0"/>
    <w:rsid w:val="005C4298"/>
    <w:rsid w:val="005D60C2"/>
    <w:rsid w:val="005E28DD"/>
    <w:rsid w:val="005E3E89"/>
    <w:rsid w:val="005E6503"/>
    <w:rsid w:val="005F50CA"/>
    <w:rsid w:val="005F5FD8"/>
    <w:rsid w:val="005F641E"/>
    <w:rsid w:val="00607937"/>
    <w:rsid w:val="0061399F"/>
    <w:rsid w:val="00615F65"/>
    <w:rsid w:val="00617D99"/>
    <w:rsid w:val="00617F66"/>
    <w:rsid w:val="00635E9A"/>
    <w:rsid w:val="006375AE"/>
    <w:rsid w:val="0064464F"/>
    <w:rsid w:val="00655AF8"/>
    <w:rsid w:val="00655B50"/>
    <w:rsid w:val="006819F0"/>
    <w:rsid w:val="00681E4B"/>
    <w:rsid w:val="006830D3"/>
    <w:rsid w:val="00687378"/>
    <w:rsid w:val="00690BD4"/>
    <w:rsid w:val="00692450"/>
    <w:rsid w:val="00693625"/>
    <w:rsid w:val="006A1231"/>
    <w:rsid w:val="006A5DF8"/>
    <w:rsid w:val="006A5E31"/>
    <w:rsid w:val="006B257F"/>
    <w:rsid w:val="006B3F73"/>
    <w:rsid w:val="006D04AF"/>
    <w:rsid w:val="006D338D"/>
    <w:rsid w:val="006D4752"/>
    <w:rsid w:val="006E37BA"/>
    <w:rsid w:val="006F0B44"/>
    <w:rsid w:val="006F1970"/>
    <w:rsid w:val="006F2CB4"/>
    <w:rsid w:val="006F2DA7"/>
    <w:rsid w:val="006F3A19"/>
    <w:rsid w:val="00700ACC"/>
    <w:rsid w:val="007011C2"/>
    <w:rsid w:val="00702A65"/>
    <w:rsid w:val="007066C9"/>
    <w:rsid w:val="00707534"/>
    <w:rsid w:val="0071262A"/>
    <w:rsid w:val="00712FBA"/>
    <w:rsid w:val="00727E39"/>
    <w:rsid w:val="00727F1A"/>
    <w:rsid w:val="00733A24"/>
    <w:rsid w:val="00737C5B"/>
    <w:rsid w:val="007469EF"/>
    <w:rsid w:val="007471A8"/>
    <w:rsid w:val="00755B0C"/>
    <w:rsid w:val="00760A14"/>
    <w:rsid w:val="00762EAF"/>
    <w:rsid w:val="00763302"/>
    <w:rsid w:val="00764DD5"/>
    <w:rsid w:val="00764EB1"/>
    <w:rsid w:val="00775F7E"/>
    <w:rsid w:val="00777318"/>
    <w:rsid w:val="00777433"/>
    <w:rsid w:val="007822A5"/>
    <w:rsid w:val="00791854"/>
    <w:rsid w:val="00796D1B"/>
    <w:rsid w:val="007B1A23"/>
    <w:rsid w:val="007B1C01"/>
    <w:rsid w:val="007C62BA"/>
    <w:rsid w:val="007C6EE8"/>
    <w:rsid w:val="007E34C7"/>
    <w:rsid w:val="007E4CCC"/>
    <w:rsid w:val="007F043E"/>
    <w:rsid w:val="007F3947"/>
    <w:rsid w:val="007F71B0"/>
    <w:rsid w:val="0080376C"/>
    <w:rsid w:val="00805222"/>
    <w:rsid w:val="008064AB"/>
    <w:rsid w:val="00807E0B"/>
    <w:rsid w:val="008145F7"/>
    <w:rsid w:val="0082161A"/>
    <w:rsid w:val="00826CD7"/>
    <w:rsid w:val="00843357"/>
    <w:rsid w:val="00843DBB"/>
    <w:rsid w:val="00851B7C"/>
    <w:rsid w:val="0085584D"/>
    <w:rsid w:val="00860E1B"/>
    <w:rsid w:val="00866C92"/>
    <w:rsid w:val="0086778C"/>
    <w:rsid w:val="00873384"/>
    <w:rsid w:val="00881AF0"/>
    <w:rsid w:val="008859D8"/>
    <w:rsid w:val="00885DC8"/>
    <w:rsid w:val="008924DF"/>
    <w:rsid w:val="008947B5"/>
    <w:rsid w:val="008975DD"/>
    <w:rsid w:val="008A019B"/>
    <w:rsid w:val="008A3A87"/>
    <w:rsid w:val="008B6EB4"/>
    <w:rsid w:val="008B7D3F"/>
    <w:rsid w:val="008D4140"/>
    <w:rsid w:val="008D63AC"/>
    <w:rsid w:val="008D6D83"/>
    <w:rsid w:val="008E3EB5"/>
    <w:rsid w:val="008F0ABC"/>
    <w:rsid w:val="008F1F2D"/>
    <w:rsid w:val="009002A7"/>
    <w:rsid w:val="00901FA2"/>
    <w:rsid w:val="009133FE"/>
    <w:rsid w:val="009174E4"/>
    <w:rsid w:val="009237F4"/>
    <w:rsid w:val="00925659"/>
    <w:rsid w:val="00930466"/>
    <w:rsid w:val="0093664C"/>
    <w:rsid w:val="00943D62"/>
    <w:rsid w:val="00951AF6"/>
    <w:rsid w:val="00960C40"/>
    <w:rsid w:val="00961726"/>
    <w:rsid w:val="00976C79"/>
    <w:rsid w:val="0098116E"/>
    <w:rsid w:val="00987EDE"/>
    <w:rsid w:val="009A17DB"/>
    <w:rsid w:val="009B5ECF"/>
    <w:rsid w:val="009D194F"/>
    <w:rsid w:val="009E05FE"/>
    <w:rsid w:val="009F5421"/>
    <w:rsid w:val="009F7A50"/>
    <w:rsid w:val="00A01EDB"/>
    <w:rsid w:val="00A04A2C"/>
    <w:rsid w:val="00A14CD0"/>
    <w:rsid w:val="00A24BBB"/>
    <w:rsid w:val="00A35195"/>
    <w:rsid w:val="00A409BA"/>
    <w:rsid w:val="00A42432"/>
    <w:rsid w:val="00A44EBC"/>
    <w:rsid w:val="00A47F48"/>
    <w:rsid w:val="00A60C08"/>
    <w:rsid w:val="00A625F5"/>
    <w:rsid w:val="00A706CF"/>
    <w:rsid w:val="00A72F20"/>
    <w:rsid w:val="00A93D2E"/>
    <w:rsid w:val="00AA4EBB"/>
    <w:rsid w:val="00AA63A1"/>
    <w:rsid w:val="00AB07F1"/>
    <w:rsid w:val="00AB1899"/>
    <w:rsid w:val="00AC57A8"/>
    <w:rsid w:val="00AC6C7C"/>
    <w:rsid w:val="00AD6B64"/>
    <w:rsid w:val="00AE5679"/>
    <w:rsid w:val="00B06244"/>
    <w:rsid w:val="00B103AE"/>
    <w:rsid w:val="00B215BA"/>
    <w:rsid w:val="00B41FD1"/>
    <w:rsid w:val="00B4405A"/>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A1E11"/>
    <w:rsid w:val="00BA3708"/>
    <w:rsid w:val="00BB2EDA"/>
    <w:rsid w:val="00BD4062"/>
    <w:rsid w:val="00BE33D4"/>
    <w:rsid w:val="00BF61A4"/>
    <w:rsid w:val="00BF74CB"/>
    <w:rsid w:val="00C13D40"/>
    <w:rsid w:val="00C15970"/>
    <w:rsid w:val="00C25290"/>
    <w:rsid w:val="00C35070"/>
    <w:rsid w:val="00C371B5"/>
    <w:rsid w:val="00C42227"/>
    <w:rsid w:val="00C54808"/>
    <w:rsid w:val="00C55FA4"/>
    <w:rsid w:val="00C56040"/>
    <w:rsid w:val="00C651D1"/>
    <w:rsid w:val="00C81AC1"/>
    <w:rsid w:val="00C96087"/>
    <w:rsid w:val="00C96C66"/>
    <w:rsid w:val="00CA0452"/>
    <w:rsid w:val="00CA603B"/>
    <w:rsid w:val="00CB1B55"/>
    <w:rsid w:val="00CB54EB"/>
    <w:rsid w:val="00CC1C18"/>
    <w:rsid w:val="00CC44AE"/>
    <w:rsid w:val="00CC5DF3"/>
    <w:rsid w:val="00CC7551"/>
    <w:rsid w:val="00CD2EA2"/>
    <w:rsid w:val="00CE2C98"/>
    <w:rsid w:val="00CE54BB"/>
    <w:rsid w:val="00CE599B"/>
    <w:rsid w:val="00CE7A64"/>
    <w:rsid w:val="00CF472C"/>
    <w:rsid w:val="00D005C5"/>
    <w:rsid w:val="00D02C8B"/>
    <w:rsid w:val="00D10FE5"/>
    <w:rsid w:val="00D20770"/>
    <w:rsid w:val="00D243AE"/>
    <w:rsid w:val="00D3337A"/>
    <w:rsid w:val="00D35086"/>
    <w:rsid w:val="00D353B5"/>
    <w:rsid w:val="00D367DD"/>
    <w:rsid w:val="00D40035"/>
    <w:rsid w:val="00D40FCB"/>
    <w:rsid w:val="00D42893"/>
    <w:rsid w:val="00D666DA"/>
    <w:rsid w:val="00D73AF0"/>
    <w:rsid w:val="00D8081E"/>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58D7"/>
    <w:rsid w:val="00DD7259"/>
    <w:rsid w:val="00DE4CA8"/>
    <w:rsid w:val="00DE57C4"/>
    <w:rsid w:val="00DE639D"/>
    <w:rsid w:val="00DF1CBE"/>
    <w:rsid w:val="00E0056C"/>
    <w:rsid w:val="00E05EDE"/>
    <w:rsid w:val="00E203F6"/>
    <w:rsid w:val="00E30D4C"/>
    <w:rsid w:val="00E33FBC"/>
    <w:rsid w:val="00E368B6"/>
    <w:rsid w:val="00E502B5"/>
    <w:rsid w:val="00E505C6"/>
    <w:rsid w:val="00E5268F"/>
    <w:rsid w:val="00E61745"/>
    <w:rsid w:val="00E61859"/>
    <w:rsid w:val="00E6236E"/>
    <w:rsid w:val="00E757F1"/>
    <w:rsid w:val="00E80133"/>
    <w:rsid w:val="00E834E5"/>
    <w:rsid w:val="00EA264B"/>
    <w:rsid w:val="00EA5602"/>
    <w:rsid w:val="00EA79D4"/>
    <w:rsid w:val="00EB118F"/>
    <w:rsid w:val="00EB790D"/>
    <w:rsid w:val="00EC71C1"/>
    <w:rsid w:val="00ED00BB"/>
    <w:rsid w:val="00ED330C"/>
    <w:rsid w:val="00ED713A"/>
    <w:rsid w:val="00ED79C5"/>
    <w:rsid w:val="00EF08B1"/>
    <w:rsid w:val="00EF5B09"/>
    <w:rsid w:val="00EF66A2"/>
    <w:rsid w:val="00EF6A28"/>
    <w:rsid w:val="00EF764C"/>
    <w:rsid w:val="00F029BC"/>
    <w:rsid w:val="00F04669"/>
    <w:rsid w:val="00F046DB"/>
    <w:rsid w:val="00F12C4C"/>
    <w:rsid w:val="00F17555"/>
    <w:rsid w:val="00F37B99"/>
    <w:rsid w:val="00F412C2"/>
    <w:rsid w:val="00F51B2F"/>
    <w:rsid w:val="00F51D5C"/>
    <w:rsid w:val="00F55006"/>
    <w:rsid w:val="00F62E1D"/>
    <w:rsid w:val="00F66519"/>
    <w:rsid w:val="00F711D3"/>
    <w:rsid w:val="00F7154C"/>
    <w:rsid w:val="00F85E53"/>
    <w:rsid w:val="00FA0360"/>
    <w:rsid w:val="00FA155C"/>
    <w:rsid w:val="00FA2612"/>
    <w:rsid w:val="00FB325F"/>
    <w:rsid w:val="00FB3733"/>
    <w:rsid w:val="00FC0DDB"/>
    <w:rsid w:val="00FC49EB"/>
    <w:rsid w:val="00FC5739"/>
    <w:rsid w:val="00FD534D"/>
    <w:rsid w:val="00FE5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4CCE6151-EFFE-450F-B818-092DA648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D80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December%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December%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December%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December%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December%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Sheet1!$D$26:$D$45</c:f>
              <c:numCache>
                <c:formatCode>mmm\-yy</c:formatCode>
                <c:ptCount val="2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numCache>
            </c:numRef>
          </c:cat>
          <c:val>
            <c:numRef>
              <c:f>Sheet1!$E$26:$E$45</c:f>
              <c:numCache>
                <c:formatCode>0.00</c:formatCode>
                <c:ptCount val="20"/>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numCache>
            </c:numRef>
          </c:val>
          <c:smooth val="0"/>
          <c:extLst>
            <c:ext xmlns:c16="http://schemas.microsoft.com/office/drawing/2014/chart" uri="{C3380CC4-5D6E-409C-BE32-E72D297353CC}">
              <c16:uniqueId val="{00000000-549F-4988-BDD3-08497A006B36}"/>
            </c:ext>
          </c:extLst>
        </c:ser>
        <c:ser>
          <c:idx val="2"/>
          <c:order val="1"/>
          <c:spPr>
            <a:ln w="31750">
              <a:solidFill>
                <a:srgbClr val="00B050"/>
              </a:solidFill>
              <a:prstDash val="sysDash"/>
            </a:ln>
          </c:spPr>
          <c:marker>
            <c:symbol val="none"/>
          </c:marker>
          <c:cat>
            <c:numRef>
              <c:f>Sheet1!$D$26:$D$45</c:f>
              <c:numCache>
                <c:formatCode>mmm\-yy</c:formatCode>
                <c:ptCount val="20"/>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numCache>
            </c:numRef>
          </c:cat>
          <c:val>
            <c:numRef>
              <c:f>Sheet1!$G$26:$G$45</c:f>
              <c:numCache>
                <c:formatCode>General</c:formatCode>
                <c:ptCount val="20"/>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numCache>
            </c:numRef>
          </c:val>
          <c:smooth val="0"/>
          <c:extLst>
            <c:ext xmlns:c16="http://schemas.microsoft.com/office/drawing/2014/chart" uri="{C3380CC4-5D6E-409C-BE32-E72D297353CC}">
              <c16:uniqueId val="{00000001-549F-4988-BDD3-08497A006B36}"/>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title>
          <c:tx>
            <c:rich>
              <a:bodyPr/>
              <a:lstStyle/>
              <a:p>
                <a:pPr>
                  <a:defRPr b="0"/>
                </a:pPr>
                <a:r>
                  <a:rPr lang="en-IN" b="0"/>
                  <a:t>Month</a:t>
                </a:r>
              </a:p>
            </c:rich>
          </c:tx>
          <c:overlay val="0"/>
        </c:title>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title>
          <c:tx>
            <c:rich>
              <a:bodyPr/>
              <a:lstStyle/>
              <a:p>
                <a:pPr>
                  <a:defRPr b="0"/>
                </a:pPr>
                <a:r>
                  <a:rPr lang="en-IN" b="0"/>
                  <a:t>Inflation Expecttation</a:t>
                </a:r>
              </a:p>
            </c:rich>
          </c:tx>
          <c:overlay val="0"/>
        </c:title>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2700">
      <a:solidFill>
        <a:srgbClr val="0070C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77719451735205E-2"/>
          <c:y val="4.0515653775322284E-2"/>
          <c:w val="0.90122228054826481"/>
          <c:h val="0.78829019300764203"/>
        </c:manualLayout>
      </c:layout>
      <c:barChart>
        <c:barDir val="col"/>
        <c:grouping val="clustered"/>
        <c:varyColors val="0"/>
        <c:ser>
          <c:idx val="2"/>
          <c:order val="0"/>
          <c:tx>
            <c:strRef>
              <c:f>Question5!$D$7</c:f>
              <c:strCache>
                <c:ptCount val="1"/>
                <c:pt idx="0">
                  <c:v>Jun-18</c:v>
                </c:pt>
              </c:strCache>
            </c:strRef>
          </c:tx>
          <c:spPr>
            <a:solidFill>
              <a:srgbClr val="C00000"/>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Question5!$D$8:$D$16</c:f>
              <c:numCache>
                <c:formatCode>0.00%</c:formatCode>
                <c:ptCount val="9"/>
                <c:pt idx="0">
                  <c:v>4.7600000000000003E-2</c:v>
                </c:pt>
                <c:pt idx="1">
                  <c:v>0.13020000000000001</c:v>
                </c:pt>
                <c:pt idx="2">
                  <c:v>0.12540000000000001</c:v>
                </c:pt>
                <c:pt idx="3">
                  <c:v>0.1731</c:v>
                </c:pt>
                <c:pt idx="4">
                  <c:v>0.19989999999999999</c:v>
                </c:pt>
                <c:pt idx="5">
                  <c:v>0.1283</c:v>
                </c:pt>
                <c:pt idx="6">
                  <c:v>8.7099999999999997E-2</c:v>
                </c:pt>
                <c:pt idx="7">
                  <c:v>5.3800000000000001E-2</c:v>
                </c:pt>
                <c:pt idx="8">
                  <c:v>5.4600000000000003E-2</c:v>
                </c:pt>
              </c:numCache>
            </c:numRef>
          </c:val>
          <c:extLst>
            <c:ext xmlns:c16="http://schemas.microsoft.com/office/drawing/2014/chart" uri="{C3380CC4-5D6E-409C-BE32-E72D297353CC}">
              <c16:uniqueId val="{00000000-5566-4800-914C-A67C391AA64E}"/>
            </c:ext>
          </c:extLst>
        </c:ser>
        <c:ser>
          <c:idx val="3"/>
          <c:order val="1"/>
          <c:tx>
            <c:strRef>
              <c:f>Question5!$E$7</c:f>
              <c:strCache>
                <c:ptCount val="1"/>
                <c:pt idx="0">
                  <c:v>Aug-18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Question5!$E$8:$E$16</c:f>
              <c:numCache>
                <c:formatCode>0.00%</c:formatCode>
                <c:ptCount val="9"/>
                <c:pt idx="0">
                  <c:v>2.7099999999999999E-2</c:v>
                </c:pt>
                <c:pt idx="1">
                  <c:v>9.4700000000000006E-2</c:v>
                </c:pt>
                <c:pt idx="2">
                  <c:v>0.1371</c:v>
                </c:pt>
                <c:pt idx="3">
                  <c:v>0.1905</c:v>
                </c:pt>
                <c:pt idx="4">
                  <c:v>0.1953</c:v>
                </c:pt>
                <c:pt idx="5">
                  <c:v>0.16370000000000001</c:v>
                </c:pt>
                <c:pt idx="6">
                  <c:v>7.3300000000000004E-2</c:v>
                </c:pt>
                <c:pt idx="7">
                  <c:v>5.0900000000000001E-2</c:v>
                </c:pt>
                <c:pt idx="8">
                  <c:v>6.7500000000000004E-2</c:v>
                </c:pt>
              </c:numCache>
            </c:numRef>
          </c:val>
          <c:extLst>
            <c:ext xmlns:c16="http://schemas.microsoft.com/office/drawing/2014/chart" uri="{C3380CC4-5D6E-409C-BE32-E72D297353CC}">
              <c16:uniqueId val="{00000001-5566-4800-914C-A67C391AA64E}"/>
            </c:ext>
          </c:extLst>
        </c:ser>
        <c:ser>
          <c:idx val="4"/>
          <c:order val="2"/>
          <c:tx>
            <c:strRef>
              <c:f>Question5!$F$7</c:f>
              <c:strCache>
                <c:ptCount val="1"/>
                <c:pt idx="0">
                  <c:v>Oct-18</c:v>
                </c:pt>
              </c:strCache>
            </c:strRef>
          </c:tx>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Question5!$F$8:$F$16</c:f>
              <c:numCache>
                <c:formatCode>0.00%</c:formatCode>
                <c:ptCount val="9"/>
                <c:pt idx="0">
                  <c:v>3.5999999999999997E-2</c:v>
                </c:pt>
                <c:pt idx="1">
                  <c:v>0.1143</c:v>
                </c:pt>
                <c:pt idx="2">
                  <c:v>0.17269999999999999</c:v>
                </c:pt>
                <c:pt idx="3">
                  <c:v>0.19600000000000001</c:v>
                </c:pt>
                <c:pt idx="4">
                  <c:v>0.1951</c:v>
                </c:pt>
                <c:pt idx="5">
                  <c:v>0.1075</c:v>
                </c:pt>
                <c:pt idx="6">
                  <c:v>7.9200000000000007E-2</c:v>
                </c:pt>
                <c:pt idx="7">
                  <c:v>4.2799999999999998E-2</c:v>
                </c:pt>
                <c:pt idx="8">
                  <c:v>5.6000000000000001E-2</c:v>
                </c:pt>
              </c:numCache>
            </c:numRef>
          </c:val>
          <c:extLst>
            <c:ext xmlns:c16="http://schemas.microsoft.com/office/drawing/2014/chart" uri="{C3380CC4-5D6E-409C-BE32-E72D297353CC}">
              <c16:uniqueId val="{00000002-5566-4800-914C-A67C391AA64E}"/>
            </c:ext>
          </c:extLst>
        </c:ser>
        <c:ser>
          <c:idx val="0"/>
          <c:order val="3"/>
          <c:tx>
            <c:strRef>
              <c:f>Question5!$G$7</c:f>
              <c:strCache>
                <c:ptCount val="1"/>
                <c:pt idx="0">
                  <c:v>Dec-18</c:v>
                </c:pt>
              </c:strCache>
            </c:strRef>
          </c:tx>
          <c:spPr>
            <a:solidFill>
              <a:schemeClr val="accent6"/>
            </a:solidFill>
          </c:spPr>
          <c:invertIfNegative val="0"/>
          <c:dLbls>
            <c:delete val="1"/>
          </c:dLbls>
          <c:cat>
            <c:strRef>
              <c:f>Question5!$A$8:$A$16</c:f>
              <c:strCache>
                <c:ptCount val="9"/>
                <c:pt idx="0">
                  <c:v>Less than -1%</c:v>
                </c:pt>
                <c:pt idx="1">
                  <c:v>1% to 2%</c:v>
                </c:pt>
                <c:pt idx="2">
                  <c:v>2.1% to 3.0%</c:v>
                </c:pt>
                <c:pt idx="3">
                  <c:v>3.1% to 4.0%</c:v>
                </c:pt>
                <c:pt idx="4">
                  <c:v>4.1% to 5.0%</c:v>
                </c:pt>
                <c:pt idx="5">
                  <c:v>5.1 to 6.0%</c:v>
                </c:pt>
                <c:pt idx="6">
                  <c:v>6.1 to 7.0%</c:v>
                </c:pt>
                <c:pt idx="7">
                  <c:v>7.1% to 8.0%</c:v>
                </c:pt>
                <c:pt idx="8">
                  <c:v>&gt;8%</c:v>
                </c:pt>
              </c:strCache>
            </c:strRef>
          </c:cat>
          <c:val>
            <c:numRef>
              <c:f>Question5!$G$8:$G$16</c:f>
              <c:numCache>
                <c:formatCode>0.00%</c:formatCode>
                <c:ptCount val="9"/>
                <c:pt idx="0">
                  <c:v>4.53E-2</c:v>
                </c:pt>
                <c:pt idx="1">
                  <c:v>0.1202</c:v>
                </c:pt>
                <c:pt idx="2">
                  <c:v>0.18210000000000001</c:v>
                </c:pt>
                <c:pt idx="3">
                  <c:v>0.218</c:v>
                </c:pt>
                <c:pt idx="4">
                  <c:v>0.18149999999999999</c:v>
                </c:pt>
                <c:pt idx="5">
                  <c:v>0.11840000000000001</c:v>
                </c:pt>
                <c:pt idx="6">
                  <c:v>6.0100000000000001E-2</c:v>
                </c:pt>
                <c:pt idx="7">
                  <c:v>4.5999999999999999E-2</c:v>
                </c:pt>
                <c:pt idx="8">
                  <c:v>2.7099999999999999E-2</c:v>
                </c:pt>
              </c:numCache>
            </c:numRef>
          </c:val>
          <c:extLst>
            <c:ext xmlns:c16="http://schemas.microsoft.com/office/drawing/2014/chart" uri="{C3380CC4-5D6E-409C-BE32-E72D297353CC}">
              <c16:uniqueId val="{00000003-5566-4800-914C-A67C391AA64E}"/>
            </c:ext>
          </c:extLst>
        </c:ser>
        <c:dLbls>
          <c:dLblPos val="outEnd"/>
          <c:showLegendKey val="0"/>
          <c:showVal val="1"/>
          <c:showCatName val="0"/>
          <c:showSerName val="0"/>
          <c:showPercent val="0"/>
          <c:showBubbleSize val="0"/>
        </c:dLbls>
        <c:gapWidth val="150"/>
        <c:axId val="162004480"/>
        <c:axId val="168364864"/>
      </c:barChart>
      <c:catAx>
        <c:axId val="162004480"/>
        <c:scaling>
          <c:orientation val="minMax"/>
        </c:scaling>
        <c:delete val="0"/>
        <c:axPos val="b"/>
        <c:numFmt formatCode="General" sourceLinked="0"/>
        <c:majorTickMark val="out"/>
        <c:minorTickMark val="none"/>
        <c:tickLblPos val="nextTo"/>
        <c:txPr>
          <a:bodyPr/>
          <a:lstStyle/>
          <a:p>
            <a:pPr>
              <a:defRPr sz="900"/>
            </a:pPr>
            <a:endParaRPr lang="en-US"/>
          </a:p>
        </c:txPr>
        <c:crossAx val="168364864"/>
        <c:crosses val="autoZero"/>
        <c:auto val="1"/>
        <c:lblAlgn val="ctr"/>
        <c:lblOffset val="100"/>
        <c:noMultiLvlLbl val="0"/>
      </c:catAx>
      <c:valAx>
        <c:axId val="168364864"/>
        <c:scaling>
          <c:orientation val="minMax"/>
        </c:scaling>
        <c:delete val="0"/>
        <c:axPos val="l"/>
        <c:majorGridlines/>
        <c:numFmt formatCode="0%" sourceLinked="0"/>
        <c:majorTickMark val="out"/>
        <c:minorTickMark val="none"/>
        <c:tickLblPos val="nextTo"/>
        <c:txPr>
          <a:bodyPr/>
          <a:lstStyle/>
          <a:p>
            <a:pPr>
              <a:defRPr sz="900"/>
            </a:pPr>
            <a:endParaRPr lang="en-US"/>
          </a:p>
        </c:txPr>
        <c:crossAx val="162004480"/>
        <c:crosses val="autoZero"/>
        <c:crossBetween val="between"/>
      </c:valAx>
    </c:plotArea>
    <c:legend>
      <c:legendPos val="r"/>
      <c:layout>
        <c:manualLayout>
          <c:xMode val="edge"/>
          <c:yMode val="edge"/>
          <c:x val="0.84995308776058165"/>
          <c:y val="8.4057655776453369E-2"/>
          <c:w val="0.11710075597534787"/>
          <c:h val="0.33688591336003443"/>
        </c:manualLayout>
      </c:layout>
      <c:overlay val="0"/>
      <c:txPr>
        <a:bodyPr/>
        <a:lstStyle/>
        <a:p>
          <a:pPr>
            <a:defRPr sz="900"/>
          </a:pPr>
          <a:endParaRPr lang="en-US"/>
        </a:p>
      </c:txPr>
    </c:legend>
    <c:plotVisOnly val="1"/>
    <c:dispBlanksAs val="gap"/>
    <c:showDLblsOverMax val="0"/>
  </c:chart>
  <c:spPr>
    <a:ln w="12700">
      <a:solidFill>
        <a:srgbClr val="0070C0"/>
      </a:solidFill>
    </a:ln>
  </c:spPr>
  <c:txPr>
    <a:bodyPr/>
    <a:lstStyle/>
    <a:p>
      <a:pPr>
        <a:defRPr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1"/>
          <c:order val="0"/>
          <c:tx>
            <c:strRef>
              <c:f>Question3!$R$3</c:f>
              <c:strCache>
                <c:ptCount val="1"/>
                <c:pt idx="0">
                  <c:v>Sep-18</c:v>
                </c:pt>
              </c:strCache>
            </c:strRef>
          </c:tx>
          <c:invertIfNegative val="0"/>
          <c:dLbls>
            <c:dLbl>
              <c:idx val="4"/>
              <c:layout>
                <c:manualLayout>
                  <c:x val="-2.1897810218978103E-2"/>
                  <c:y val="2.76625172890733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6DE-4DA3-85FF-036C6259B7F9}"/>
                </c:ext>
              </c:extLst>
            </c:dLbl>
            <c:dLbl>
              <c:idx val="5"/>
              <c:layout>
                <c:manualLayout>
                  <c:x val="0"/>
                  <c:y val="1.6597510373443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DE-4DA3-85FF-036C6259B7F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Question3!$R$4:$R$9</c:f>
              <c:numCache>
                <c:formatCode>0.0%</c:formatCode>
                <c:ptCount val="6"/>
                <c:pt idx="0">
                  <c:v>9.3100000000000002E-2</c:v>
                </c:pt>
                <c:pt idx="1">
                  <c:v>7.8399999999999997E-2</c:v>
                </c:pt>
                <c:pt idx="2">
                  <c:v>0.18629999999999999</c:v>
                </c:pt>
                <c:pt idx="3">
                  <c:v>0.26469999999999999</c:v>
                </c:pt>
                <c:pt idx="4">
                  <c:v>0.2157</c:v>
                </c:pt>
                <c:pt idx="5">
                  <c:v>0.1618</c:v>
                </c:pt>
              </c:numCache>
            </c:numRef>
          </c:val>
          <c:extLst>
            <c:ext xmlns:c16="http://schemas.microsoft.com/office/drawing/2014/chart" uri="{C3380CC4-5D6E-409C-BE32-E72D297353CC}">
              <c16:uniqueId val="{00000000-96DE-4DA3-85FF-036C6259B7F9}"/>
            </c:ext>
          </c:extLst>
        </c:ser>
        <c:ser>
          <c:idx val="2"/>
          <c:order val="1"/>
          <c:tx>
            <c:strRef>
              <c:f>Question3!$S$3</c:f>
              <c:strCache>
                <c:ptCount val="1"/>
                <c:pt idx="0">
                  <c:v>Oct-18</c:v>
                </c:pt>
              </c:strCache>
            </c:strRef>
          </c:tx>
          <c:spPr>
            <a:solidFill>
              <a:srgbClr val="7030A0">
                <a:alpha val="85000"/>
              </a:srgbClr>
            </a:solidFill>
          </c:spPr>
          <c:invertIfNegative val="0"/>
          <c:dLbls>
            <c:dLbl>
              <c:idx val="2"/>
              <c:layout>
                <c:manualLayout>
                  <c:x val="0"/>
                  <c:y val="1.6597510373443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DE-4DA3-85FF-036C6259B7F9}"/>
                </c:ext>
              </c:extLst>
            </c:dLbl>
            <c:dLbl>
              <c:idx val="3"/>
              <c:layout>
                <c:manualLayout>
                  <c:x val="0"/>
                  <c:y val="1.6597510373443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DE-4DA3-85FF-036C6259B7F9}"/>
                </c:ext>
              </c:extLst>
            </c:dLbl>
            <c:dLbl>
              <c:idx val="5"/>
              <c:layout>
                <c:manualLayout>
                  <c:x val="2.43309002433072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DE-4DA3-85FF-036C6259B7F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Question3!$S$4:$S$9</c:f>
              <c:numCache>
                <c:formatCode>0.0%</c:formatCode>
                <c:ptCount val="6"/>
                <c:pt idx="0">
                  <c:v>0.1215</c:v>
                </c:pt>
                <c:pt idx="1">
                  <c:v>0.1449</c:v>
                </c:pt>
                <c:pt idx="2">
                  <c:v>0.1636</c:v>
                </c:pt>
                <c:pt idx="3">
                  <c:v>0.23830000000000001</c:v>
                </c:pt>
                <c:pt idx="4">
                  <c:v>0.215</c:v>
                </c:pt>
                <c:pt idx="5">
                  <c:v>0.1168</c:v>
                </c:pt>
              </c:numCache>
            </c:numRef>
          </c:val>
          <c:extLst>
            <c:ext xmlns:c16="http://schemas.microsoft.com/office/drawing/2014/chart" uri="{C3380CC4-5D6E-409C-BE32-E72D297353CC}">
              <c16:uniqueId val="{00000001-96DE-4DA3-85FF-036C6259B7F9}"/>
            </c:ext>
          </c:extLst>
        </c:ser>
        <c:ser>
          <c:idx val="3"/>
          <c:order val="2"/>
          <c:tx>
            <c:strRef>
              <c:f>Question3!$T$3</c:f>
              <c:strCache>
                <c:ptCount val="1"/>
                <c:pt idx="0">
                  <c:v>Nov-18</c:v>
                </c:pt>
              </c:strCache>
            </c:strRef>
          </c:tx>
          <c:spPr>
            <a:solidFill>
              <a:schemeClr val="accent6"/>
            </a:solidFill>
          </c:spPr>
          <c:invertIfNegative val="0"/>
          <c:dLbls>
            <c:dLbl>
              <c:idx val="0"/>
              <c:layout>
                <c:manualLayout>
                  <c:x val="4.866180048661778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DE-4DA3-85FF-036C6259B7F9}"/>
                </c:ext>
              </c:extLst>
            </c:dLbl>
            <c:dLbl>
              <c:idx val="1"/>
              <c:layout>
                <c:manualLayout>
                  <c:x val="-4.4606135152186835E-17"/>
                  <c:y val="3.319502074688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DE-4DA3-85FF-036C6259B7F9}"/>
                </c:ext>
              </c:extLst>
            </c:dLbl>
            <c:dLbl>
              <c:idx val="2"/>
              <c:layout>
                <c:manualLayout>
                  <c:x val="0"/>
                  <c:y val="-2.2130013831258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DE-4DA3-85FF-036C6259B7F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Question3!$T$4:$T$9</c:f>
              <c:numCache>
                <c:formatCode>0.0%</c:formatCode>
                <c:ptCount val="6"/>
                <c:pt idx="0">
                  <c:v>8.6053412462908013E-2</c:v>
                </c:pt>
                <c:pt idx="1">
                  <c:v>0.12462908011869436</c:v>
                </c:pt>
                <c:pt idx="2">
                  <c:v>0.18991097922848665</c:v>
                </c:pt>
                <c:pt idx="3">
                  <c:v>0.26409495548961426</c:v>
                </c:pt>
                <c:pt idx="4">
                  <c:v>0.18694362017804153</c:v>
                </c:pt>
                <c:pt idx="5">
                  <c:v>0.14836795252225518</c:v>
                </c:pt>
              </c:numCache>
            </c:numRef>
          </c:val>
          <c:extLst>
            <c:ext xmlns:c16="http://schemas.microsoft.com/office/drawing/2014/chart" uri="{C3380CC4-5D6E-409C-BE32-E72D297353CC}">
              <c16:uniqueId val="{00000002-96DE-4DA3-85FF-036C6259B7F9}"/>
            </c:ext>
          </c:extLst>
        </c:ser>
        <c:ser>
          <c:idx val="4"/>
          <c:order val="3"/>
          <c:tx>
            <c:strRef>
              <c:f>Question3!$U$3</c:f>
              <c:strCache>
                <c:ptCount val="1"/>
                <c:pt idx="0">
                  <c:v>Dec-18</c:v>
                </c:pt>
              </c:strCache>
            </c:strRef>
          </c:tx>
          <c:invertIfNegative val="0"/>
          <c:dLbls>
            <c:dLbl>
              <c:idx val="0"/>
              <c:layout>
                <c:manualLayout>
                  <c:x val="1.70316301703163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DE-4DA3-85FF-036C6259B7F9}"/>
                </c:ext>
              </c:extLst>
            </c:dLbl>
            <c:dLbl>
              <c:idx val="1"/>
              <c:layout>
                <c:manualLayout>
                  <c:x val="1.4598540145985401E-2"/>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DE-4DA3-85FF-036C6259B7F9}"/>
                </c:ext>
              </c:extLst>
            </c:dLbl>
            <c:dLbl>
              <c:idx val="2"/>
              <c:layout>
                <c:manualLayout>
                  <c:x val="1.21654501216545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DE-4DA3-85FF-036C6259B7F9}"/>
                </c:ext>
              </c:extLst>
            </c:dLbl>
            <c:dLbl>
              <c:idx val="4"/>
              <c:layout>
                <c:manualLayout>
                  <c:x val="4.8661800486617113E-3"/>
                  <c:y val="3.3195020746887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DE-4DA3-85FF-036C6259B7F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Question3!$U$4:$U$9</c:f>
              <c:numCache>
                <c:formatCode>0.0%</c:formatCode>
                <c:ptCount val="6"/>
                <c:pt idx="0">
                  <c:v>8.6053412462908013E-2</c:v>
                </c:pt>
                <c:pt idx="1">
                  <c:v>0.13</c:v>
                </c:pt>
                <c:pt idx="2">
                  <c:v>0.18</c:v>
                </c:pt>
                <c:pt idx="3">
                  <c:v>0.34</c:v>
                </c:pt>
                <c:pt idx="4">
                  <c:v>0.18</c:v>
                </c:pt>
                <c:pt idx="5">
                  <c:v>0.09</c:v>
                </c:pt>
              </c:numCache>
            </c:numRef>
          </c:val>
          <c:extLst>
            <c:ext xmlns:c16="http://schemas.microsoft.com/office/drawing/2014/chart" uri="{C3380CC4-5D6E-409C-BE32-E72D297353CC}">
              <c16:uniqueId val="{00000003-96DE-4DA3-85FF-036C6259B7F9}"/>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507107066162184"/>
          <c:h val="0.23378705568780647"/>
        </c:manualLayout>
      </c:layout>
      <c:overlay val="0"/>
    </c:legend>
    <c:plotVisOnly val="1"/>
    <c:dispBlanksAs val="gap"/>
    <c:showDLblsOverMax val="0"/>
  </c:chart>
  <c:spPr>
    <a:noFill/>
    <a:ln w="1270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1"/>
          <c:order val="0"/>
          <c:tx>
            <c:strRef>
              <c:f>'Question 2'!$R$3</c:f>
              <c:strCache>
                <c:ptCount val="1"/>
                <c:pt idx="0">
                  <c:v>Sep-18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2'!$R$4:$R$8</c:f>
              <c:numCache>
                <c:formatCode>0.00%</c:formatCode>
                <c:ptCount val="5"/>
                <c:pt idx="0">
                  <c:v>0.31369999999999998</c:v>
                </c:pt>
                <c:pt idx="1">
                  <c:v>0.26240000000000002</c:v>
                </c:pt>
                <c:pt idx="2">
                  <c:v>0.2059</c:v>
                </c:pt>
                <c:pt idx="3">
                  <c:v>0.187</c:v>
                </c:pt>
                <c:pt idx="4">
                  <c:v>2.9399999999999999E-2</c:v>
                </c:pt>
              </c:numCache>
            </c:numRef>
          </c:val>
          <c:extLst>
            <c:ext xmlns:c16="http://schemas.microsoft.com/office/drawing/2014/chart" uri="{C3380CC4-5D6E-409C-BE32-E72D297353CC}">
              <c16:uniqueId val="{00000000-E305-425A-9460-04339F7974EE}"/>
            </c:ext>
          </c:extLst>
        </c:ser>
        <c:ser>
          <c:idx val="2"/>
          <c:order val="1"/>
          <c:tx>
            <c:strRef>
              <c:f>'Question 2'!$S$3</c:f>
              <c:strCache>
                <c:ptCount val="1"/>
                <c:pt idx="0">
                  <c:v>Oct-18</c:v>
                </c:pt>
              </c:strCache>
            </c:strRef>
          </c:tx>
          <c:spPr>
            <a:solidFill>
              <a:srgbClr val="00B050"/>
            </a:solidFill>
          </c:spPr>
          <c:invertIfNegative val="0"/>
          <c:dLbls>
            <c:dLbl>
              <c:idx val="3"/>
              <c:layout>
                <c:manualLayout>
                  <c:x val="0"/>
                  <c:y val="2.9304029304029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05-425A-9460-04339F7974E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2'!$S$4:$S$8</c:f>
              <c:numCache>
                <c:formatCode>0.00%</c:formatCode>
                <c:ptCount val="5"/>
                <c:pt idx="0">
                  <c:v>0.39069999999999999</c:v>
                </c:pt>
                <c:pt idx="1">
                  <c:v>0.19070000000000001</c:v>
                </c:pt>
                <c:pt idx="2">
                  <c:v>0.22789999999999999</c:v>
                </c:pt>
                <c:pt idx="3">
                  <c:v>0.1535</c:v>
                </c:pt>
                <c:pt idx="4">
                  <c:v>3.7199999999999997E-2</c:v>
                </c:pt>
              </c:numCache>
            </c:numRef>
          </c:val>
          <c:extLst>
            <c:ext xmlns:c16="http://schemas.microsoft.com/office/drawing/2014/chart" uri="{C3380CC4-5D6E-409C-BE32-E72D297353CC}">
              <c16:uniqueId val="{00000001-E305-425A-9460-04339F7974EE}"/>
            </c:ext>
          </c:extLst>
        </c:ser>
        <c:ser>
          <c:idx val="3"/>
          <c:order val="2"/>
          <c:tx>
            <c:strRef>
              <c:f>'Question 2'!$T$3</c:f>
              <c:strCache>
                <c:ptCount val="1"/>
                <c:pt idx="0">
                  <c:v>Nov-18</c:v>
                </c:pt>
              </c:strCache>
            </c:strRef>
          </c:tx>
          <c:invertIfNegative val="0"/>
          <c:dLbls>
            <c:dLbl>
              <c:idx val="0"/>
              <c:layout>
                <c:manualLayout>
                  <c:x val="1.01010101010101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05-425A-9460-04339F7974E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2'!$T$4:$T$8</c:f>
              <c:numCache>
                <c:formatCode>0.00%</c:formatCode>
                <c:ptCount val="5"/>
                <c:pt idx="0">
                  <c:v>0.36795252225519287</c:v>
                </c:pt>
                <c:pt idx="1">
                  <c:v>0.24629080118694363</c:v>
                </c:pt>
                <c:pt idx="2">
                  <c:v>0.18397626112759644</c:v>
                </c:pt>
                <c:pt idx="3">
                  <c:v>0.15727002967359049</c:v>
                </c:pt>
                <c:pt idx="4">
                  <c:v>4.4510385756676561E-2</c:v>
                </c:pt>
              </c:numCache>
            </c:numRef>
          </c:val>
          <c:extLst>
            <c:ext xmlns:c16="http://schemas.microsoft.com/office/drawing/2014/chart" uri="{C3380CC4-5D6E-409C-BE32-E72D297353CC}">
              <c16:uniqueId val="{00000002-E305-425A-9460-04339F7974EE}"/>
            </c:ext>
          </c:extLst>
        </c:ser>
        <c:ser>
          <c:idx val="4"/>
          <c:order val="3"/>
          <c:tx>
            <c:strRef>
              <c:f>'Question 2'!$U$3</c:f>
              <c:strCache>
                <c:ptCount val="1"/>
                <c:pt idx="0">
                  <c:v>Dec-18</c:v>
                </c:pt>
              </c:strCache>
            </c:strRef>
          </c:tx>
          <c:invertIfNegative val="0"/>
          <c:dLbls>
            <c:dLbl>
              <c:idx val="1"/>
              <c:layout>
                <c:manualLayout>
                  <c:x val="1.2626262626262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05-425A-9460-04339F7974EE}"/>
                </c:ext>
              </c:extLst>
            </c:dLbl>
            <c:dLbl>
              <c:idx val="3"/>
              <c:layout>
                <c:manualLayout>
                  <c:x val="7.57575757575748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5-425A-9460-04339F7974EE}"/>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2'!$U$4:$U$8</c:f>
              <c:numCache>
                <c:formatCode>0.00%</c:formatCode>
                <c:ptCount val="5"/>
                <c:pt idx="0">
                  <c:v>0.3</c:v>
                </c:pt>
                <c:pt idx="1">
                  <c:v>0.26</c:v>
                </c:pt>
                <c:pt idx="2">
                  <c:v>0.24</c:v>
                </c:pt>
                <c:pt idx="3">
                  <c:v>0.17</c:v>
                </c:pt>
                <c:pt idx="4">
                  <c:v>4.4510385756676561E-2</c:v>
                </c:pt>
              </c:numCache>
            </c:numRef>
          </c:val>
          <c:extLst>
            <c:ext xmlns:c16="http://schemas.microsoft.com/office/drawing/2014/chart" uri="{C3380CC4-5D6E-409C-BE32-E72D297353CC}">
              <c16:uniqueId val="{00000003-E305-425A-9460-04339F7974EE}"/>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81795394893820095"/>
          <c:y val="0.28806022703952133"/>
          <c:w val="0.13112749912603419"/>
          <c:h val="0.31415135608048994"/>
        </c:manualLayout>
      </c:layout>
      <c:overlay val="0"/>
    </c:legend>
    <c:plotVisOnly val="1"/>
    <c:dispBlanksAs val="gap"/>
    <c:showDLblsOverMax val="0"/>
  </c:chart>
  <c:spPr>
    <a:ln w="1270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0"/>
          <c:order val="0"/>
          <c:tx>
            <c:strRef>
              <c:f>Question1!$R$3</c:f>
              <c:strCache>
                <c:ptCount val="1"/>
                <c:pt idx="0">
                  <c:v>Sep-18</c:v>
                </c:pt>
              </c:strCache>
            </c:strRef>
          </c:tx>
          <c:invertIfNegative val="0"/>
          <c:dLbls>
            <c:dLbl>
              <c:idx val="0"/>
              <c:layout>
                <c:manualLayout>
                  <c:x val="-2.4116724948751961E-3"/>
                  <c:y val="1.556420233463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06-4372-BCF2-B3D5A9123266}"/>
                </c:ext>
              </c:extLst>
            </c:dLbl>
            <c:dLbl>
              <c:idx val="1"/>
              <c:layout>
                <c:manualLayout>
                  <c:x val="-1.44700349692511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06-4372-BCF2-B3D5A9123266}"/>
                </c:ext>
              </c:extLst>
            </c:dLbl>
            <c:dLbl>
              <c:idx val="2"/>
              <c:layout>
                <c:manualLayout>
                  <c:x val="-2.4116724948752845E-3"/>
                  <c:y val="2.0752269779507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06-4372-BCF2-B3D5A912326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Question1!$R$4:$R$8</c:f>
              <c:numCache>
                <c:formatCode>0.0%</c:formatCode>
                <c:ptCount val="5"/>
                <c:pt idx="0">
                  <c:v>0.44600000000000001</c:v>
                </c:pt>
                <c:pt idx="1">
                  <c:v>0.24010000000000001</c:v>
                </c:pt>
                <c:pt idx="2">
                  <c:v>0.17100000000000001</c:v>
                </c:pt>
                <c:pt idx="3">
                  <c:v>0.108</c:v>
                </c:pt>
                <c:pt idx="4">
                  <c:v>3.4299999999999997E-2</c:v>
                </c:pt>
              </c:numCache>
            </c:numRef>
          </c:val>
          <c:extLst>
            <c:ext xmlns:c16="http://schemas.microsoft.com/office/drawing/2014/chart" uri="{C3380CC4-5D6E-409C-BE32-E72D297353CC}">
              <c16:uniqueId val="{00000000-6A06-4372-BCF2-B3D5A9123266}"/>
            </c:ext>
          </c:extLst>
        </c:ser>
        <c:ser>
          <c:idx val="1"/>
          <c:order val="1"/>
          <c:tx>
            <c:strRef>
              <c:f>Question1!$S$3</c:f>
              <c:strCache>
                <c:ptCount val="1"/>
                <c:pt idx="0">
                  <c:v>Oct-18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Question1!$S$4:$S$8</c:f>
              <c:numCache>
                <c:formatCode>0.0%</c:formatCode>
                <c:ptCount val="5"/>
                <c:pt idx="0">
                  <c:v>0.46850000000000003</c:v>
                </c:pt>
                <c:pt idx="1">
                  <c:v>0.2387</c:v>
                </c:pt>
                <c:pt idx="2">
                  <c:v>0.19819999999999999</c:v>
                </c:pt>
                <c:pt idx="3">
                  <c:v>7.6600000000000001E-2</c:v>
                </c:pt>
                <c:pt idx="4">
                  <c:v>1.7999999999999999E-2</c:v>
                </c:pt>
              </c:numCache>
            </c:numRef>
          </c:val>
          <c:extLst>
            <c:ext xmlns:c16="http://schemas.microsoft.com/office/drawing/2014/chart" uri="{C3380CC4-5D6E-409C-BE32-E72D297353CC}">
              <c16:uniqueId val="{00000001-6A06-4372-BCF2-B3D5A9123266}"/>
            </c:ext>
          </c:extLst>
        </c:ser>
        <c:ser>
          <c:idx val="2"/>
          <c:order val="2"/>
          <c:tx>
            <c:strRef>
              <c:f>Question1!$T$3</c:f>
              <c:strCache>
                <c:ptCount val="1"/>
                <c:pt idx="0">
                  <c:v>Nov-18</c:v>
                </c:pt>
              </c:strCache>
            </c:strRef>
          </c:tx>
          <c:spPr>
            <a:solidFill>
              <a:srgbClr val="00B050"/>
            </a:solidFill>
          </c:spPr>
          <c:invertIfNegative val="0"/>
          <c:dLbls>
            <c:dLbl>
              <c:idx val="0"/>
              <c:layout>
                <c:manualLayout>
                  <c:x val="1.44700349692511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06-4372-BCF2-B3D5A9123266}"/>
                </c:ext>
              </c:extLst>
            </c:dLbl>
            <c:dLbl>
              <c:idx val="1"/>
              <c:layout>
                <c:manualLayout>
                  <c:x val="7.235017484625543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06-4372-BCF2-B3D5A912326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Question1!$T$4:$T$8</c:f>
              <c:numCache>
                <c:formatCode>0.0%</c:formatCode>
                <c:ptCount val="5"/>
                <c:pt idx="0">
                  <c:v>0.4599406528189911</c:v>
                </c:pt>
                <c:pt idx="1">
                  <c:v>0.26112759643916916</c:v>
                </c:pt>
                <c:pt idx="2">
                  <c:v>0.17804154302670624</c:v>
                </c:pt>
                <c:pt idx="3">
                  <c:v>8.0118694362017809E-2</c:v>
                </c:pt>
                <c:pt idx="4">
                  <c:v>2.0771513353115726E-2</c:v>
                </c:pt>
              </c:numCache>
            </c:numRef>
          </c:val>
          <c:extLst>
            <c:ext xmlns:c16="http://schemas.microsoft.com/office/drawing/2014/chart" uri="{C3380CC4-5D6E-409C-BE32-E72D297353CC}">
              <c16:uniqueId val="{00000002-6A06-4372-BCF2-B3D5A9123266}"/>
            </c:ext>
          </c:extLst>
        </c:ser>
        <c:ser>
          <c:idx val="3"/>
          <c:order val="3"/>
          <c:tx>
            <c:strRef>
              <c:f>Question1!$U$3</c:f>
              <c:strCache>
                <c:ptCount val="1"/>
                <c:pt idx="0">
                  <c:v>Dec-18</c:v>
                </c:pt>
              </c:strCache>
            </c:strRef>
          </c:tx>
          <c:invertIfNegative val="0"/>
          <c:dLbls>
            <c:dLbl>
              <c:idx val="1"/>
              <c:layout>
                <c:manualLayout>
                  <c:x val="1.9293379959001569E-2"/>
                  <c:y val="1.5564202334630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06-4372-BCF2-B3D5A9123266}"/>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Question1!$U$4:$U$8</c:f>
              <c:numCache>
                <c:formatCode>0.0%</c:formatCode>
                <c:ptCount val="5"/>
                <c:pt idx="0">
                  <c:v>0.37</c:v>
                </c:pt>
                <c:pt idx="1">
                  <c:v>0.26112759643916916</c:v>
                </c:pt>
                <c:pt idx="2">
                  <c:v>0.25</c:v>
                </c:pt>
                <c:pt idx="3">
                  <c:v>8.0118694362017809E-2</c:v>
                </c:pt>
                <c:pt idx="4">
                  <c:v>0.03</c:v>
                </c:pt>
              </c:numCache>
            </c:numRef>
          </c:val>
          <c:extLst>
            <c:ext xmlns:c16="http://schemas.microsoft.com/office/drawing/2014/chart" uri="{C3380CC4-5D6E-409C-BE32-E72D297353CC}">
              <c16:uniqueId val="{00000003-6A06-4372-BCF2-B3D5A9123266}"/>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270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C040-E409-4E44-A00B-01504CBD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20</cp:revision>
  <cp:lastPrinted>2018-11-11T08:46:00Z</cp:lastPrinted>
  <dcterms:created xsi:type="dcterms:W3CDTF">2019-02-03T10:33:00Z</dcterms:created>
  <dcterms:modified xsi:type="dcterms:W3CDTF">2019-02-05T04:21:00Z</dcterms:modified>
</cp:coreProperties>
</file>