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A7E78" w14:textId="740E9C4A" w:rsidR="00576944" w:rsidRDefault="00576944"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F8EAF3A" wp14:editId="26092667">
            <wp:simplePos x="0" y="0"/>
            <wp:positionH relativeFrom="margin">
              <wp:align>center</wp:align>
            </wp:positionH>
            <wp:positionV relativeFrom="paragraph">
              <wp:posOffset>132080</wp:posOffset>
            </wp:positionV>
            <wp:extent cx="904875" cy="906145"/>
            <wp:effectExtent l="0" t="0" r="9525" b="8255"/>
            <wp:wrapThrough wrapText="bothSides">
              <wp:wrapPolygon edited="0">
                <wp:start x="0" y="0"/>
                <wp:lineTo x="0" y="21343"/>
                <wp:lineTo x="21373" y="21343"/>
                <wp:lineTo x="21373"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14:paraId="27795A33" w14:textId="77777777" w:rsidR="00576944" w:rsidRDefault="00576944"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7586152A" w14:textId="77777777" w:rsidR="00576944" w:rsidRDefault="00576944"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33E6E6C4" w14:textId="77777777" w:rsidR="00576944" w:rsidRDefault="00576944"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3C2FC671" w14:textId="77777777" w:rsidR="00576944" w:rsidRDefault="00576944"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0FDCC3B5" w14:textId="77777777" w:rsidR="00576944" w:rsidRDefault="00576944"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7D0B36EF" w14:textId="77777777" w:rsidR="00576944" w:rsidRPr="00BA7810" w:rsidRDefault="00576944" w:rsidP="00576944">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364480BA" w14:textId="77777777" w:rsidR="00576944" w:rsidRDefault="00576944"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70FFF28E"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576944" w:rsidRPr="00FD534D">
        <w:rPr>
          <w:rFonts w:ascii="Times New Roman" w:eastAsia="Times New Roman" w:hAnsi="Times New Roman" w:cs="Times New Roman"/>
          <w:b/>
          <w:color w:val="222222"/>
          <w:sz w:val="28"/>
          <w:szCs w:val="28"/>
          <w:shd w:val="clear" w:color="auto" w:fill="FFFFFF"/>
          <w:lang w:val="en-GB" w:eastAsia="en-GB"/>
        </w:rPr>
        <w:t>) –</w:t>
      </w:r>
      <w:r w:rsidR="00B96C5A" w:rsidRPr="00FD534D">
        <w:rPr>
          <w:rFonts w:ascii="Times New Roman" w:eastAsia="Times New Roman" w:hAnsi="Times New Roman" w:cs="Times New Roman"/>
          <w:b/>
          <w:color w:val="222222"/>
          <w:sz w:val="28"/>
          <w:szCs w:val="28"/>
          <w:shd w:val="clear" w:color="auto" w:fill="FFFFFF"/>
          <w:lang w:val="en-GB" w:eastAsia="en-GB"/>
        </w:rPr>
        <w:t xml:space="preserve"> </w:t>
      </w:r>
      <w:r w:rsidR="0016283C">
        <w:rPr>
          <w:rFonts w:ascii="Times New Roman" w:eastAsia="Times New Roman" w:hAnsi="Times New Roman" w:cs="Times New Roman"/>
          <w:b/>
          <w:color w:val="222222"/>
          <w:sz w:val="28"/>
          <w:szCs w:val="28"/>
          <w:shd w:val="clear" w:color="auto" w:fill="FFFFFF"/>
          <w:lang w:val="en-GB" w:eastAsia="en-GB"/>
        </w:rPr>
        <w:t>April</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A47F48">
        <w:rPr>
          <w:rFonts w:ascii="Times New Roman" w:eastAsia="Times New Roman" w:hAnsi="Times New Roman" w:cs="Times New Roman"/>
          <w:b/>
          <w:color w:val="222222"/>
          <w:sz w:val="28"/>
          <w:szCs w:val="28"/>
          <w:shd w:val="clear" w:color="auto" w:fill="FFFFFF"/>
          <w:lang w:val="en-GB" w:eastAsia="en-GB"/>
        </w:rPr>
        <w:t>8</w:t>
      </w:r>
    </w:p>
    <w:p w14:paraId="1D3B2346" w14:textId="77777777" w:rsidR="00FC49EB" w:rsidRDefault="00FC49EB" w:rsidP="001D09C4">
      <w:pPr>
        <w:spacing w:after="0" w:line="240" w:lineRule="auto"/>
        <w:rPr>
          <w:rFonts w:ascii="Times New Roman" w:hAnsi="Times New Roman" w:cs="Times New Roman"/>
          <w:b/>
        </w:rPr>
      </w:pPr>
    </w:p>
    <w:p w14:paraId="291205C6" w14:textId="1A2D9520" w:rsidR="00576944" w:rsidRPr="00A90CE8" w:rsidRDefault="00576944" w:rsidP="00576944">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4</w:t>
      </w:r>
      <w:r w:rsidRPr="00A90CE8">
        <w:rPr>
          <w:rFonts w:ascii="Times New Roman" w:eastAsia="Times New Roman" w:hAnsi="Times New Roman" w:cs="Times New Roman"/>
          <w:b/>
          <w:sz w:val="24"/>
          <w:szCs w:val="24"/>
        </w:rPr>
        <w:t>, 2018 | Ahmedabad</w:t>
      </w:r>
    </w:p>
    <w:p w14:paraId="33744277" w14:textId="77777777" w:rsidR="00576944" w:rsidRPr="00BA7810" w:rsidRDefault="00576944" w:rsidP="00576944">
      <w:pPr>
        <w:spacing w:after="0" w:line="240" w:lineRule="auto"/>
        <w:jc w:val="both"/>
        <w:rPr>
          <w:rFonts w:ascii="Times New Roman" w:hAnsi="Times New Roman" w:cs="Times New Roman"/>
          <w:bCs/>
          <w:lang w:val="en-US"/>
        </w:rPr>
      </w:pPr>
      <w:r w:rsidRPr="00BA7810">
        <w:rPr>
          <w:rFonts w:ascii="Times New Roman" w:hAnsi="Times New Roman" w:cs="Times New Roman"/>
          <w:bCs/>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required for policy making. Towards this objective, IIMA introduced the BIES from May 2017. The questionnaire of BIES is finalized based on the detailed feedback received from the industry, academicians and policy makers. A copy of the questionnaire is enclosed for information. </w:t>
      </w:r>
    </w:p>
    <w:p w14:paraId="0E26984A" w14:textId="77777777" w:rsidR="00576944" w:rsidRPr="00BA7810" w:rsidRDefault="00576944" w:rsidP="00576944">
      <w:pPr>
        <w:spacing w:after="0" w:line="240" w:lineRule="auto"/>
        <w:jc w:val="both"/>
        <w:rPr>
          <w:rFonts w:ascii="Times New Roman" w:hAnsi="Times New Roman" w:cs="Times New Roman"/>
          <w:bCs/>
          <w:lang w:val="en-US"/>
        </w:rPr>
      </w:pPr>
    </w:p>
    <w:p w14:paraId="79AD062D" w14:textId="2C166C69" w:rsidR="00576944" w:rsidRPr="00BA7810" w:rsidRDefault="00576944" w:rsidP="00E66E40">
      <w:pPr>
        <w:spacing w:after="0" w:line="240" w:lineRule="auto"/>
        <w:jc w:val="both"/>
        <w:rPr>
          <w:rFonts w:ascii="Times New Roman" w:hAnsi="Times New Roman" w:cs="Times New Roman"/>
          <w:bCs/>
          <w:lang w:val="en-US"/>
        </w:rPr>
      </w:pPr>
      <w:r w:rsidRPr="00BA7810">
        <w:rPr>
          <w:rFonts w:ascii="Times New Roman" w:hAnsi="Times New Roman" w:cs="Times New Roman"/>
          <w:bCs/>
          <w:lang w:val="en-US"/>
        </w:rPr>
        <w:t>Companies, mostly in the manufacturing sector, are selected based on certain sampling criteria from the list of companies as available with the Ministry of Corpo</w:t>
      </w:r>
      <w:r w:rsidR="00E66E40">
        <w:rPr>
          <w:rFonts w:ascii="Times New Roman" w:hAnsi="Times New Roman" w:cs="Times New Roman"/>
          <w:bCs/>
          <w:lang w:val="en-US"/>
        </w:rPr>
        <w:t>rate Affairs (MCA). BIES - April 2018 is the 12</w:t>
      </w:r>
      <w:r w:rsidR="00E66E40" w:rsidRPr="00E66E40">
        <w:rPr>
          <w:rFonts w:ascii="Times New Roman" w:hAnsi="Times New Roman" w:cs="Times New Roman"/>
          <w:bCs/>
          <w:vertAlign w:val="superscript"/>
          <w:lang w:val="en-US"/>
        </w:rPr>
        <w:t>th</w:t>
      </w:r>
      <w:r w:rsidRPr="00BA7810">
        <w:rPr>
          <w:rFonts w:ascii="Times New Roman" w:hAnsi="Times New Roman" w:cs="Times New Roman"/>
          <w:bCs/>
          <w:lang w:val="en-US"/>
        </w:rPr>
        <w:t xml:space="preserve"> round of the Survey. These results are based on the responses of 1941 companies.  </w:t>
      </w:r>
    </w:p>
    <w:p w14:paraId="3B64E781" w14:textId="77777777" w:rsidR="00576944" w:rsidRDefault="00576944" w:rsidP="001D09C4">
      <w:pPr>
        <w:spacing w:after="0" w:line="240" w:lineRule="auto"/>
        <w:rPr>
          <w:rFonts w:ascii="Times New Roman" w:hAnsi="Times New Roman" w:cs="Times New Roman"/>
          <w:b/>
        </w:rPr>
      </w:pPr>
    </w:p>
    <w:p w14:paraId="354A3479" w14:textId="0FBBA384"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576944">
      <w:pPr>
        <w:spacing w:after="0" w:line="240" w:lineRule="auto"/>
        <w:ind w:firstLine="720"/>
        <w:rPr>
          <w:rFonts w:ascii="Times New Roman" w:hAnsi="Times New Roman" w:cs="Times New Roman"/>
          <w:b/>
        </w:rPr>
      </w:pPr>
    </w:p>
    <w:p w14:paraId="110298E0" w14:textId="22E5303E" w:rsidR="00FC49EB" w:rsidRPr="008D6D83" w:rsidRDefault="002B7E20" w:rsidP="00FC49E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w:t>
      </w:r>
      <w:r w:rsidR="001D09C4" w:rsidRPr="008D6D83">
        <w:rPr>
          <w:rFonts w:ascii="Times New Roman" w:hAnsi="Times New Roman" w:cs="Times New Roman"/>
          <w:bCs/>
        </w:rPr>
        <w:t>usiness inflation expectation</w:t>
      </w:r>
      <w:r w:rsidR="00655AF8" w:rsidRPr="008D6D83">
        <w:rPr>
          <w:rFonts w:ascii="Times New Roman" w:hAnsi="Times New Roman" w:cs="Times New Roman"/>
          <w:bCs/>
        </w:rPr>
        <w:t xml:space="preserve"> in </w:t>
      </w:r>
      <w:r w:rsidR="00DB6736">
        <w:rPr>
          <w:rFonts w:ascii="Times New Roman" w:hAnsi="Times New Roman" w:cs="Times New Roman"/>
          <w:bCs/>
        </w:rPr>
        <w:t>April</w:t>
      </w:r>
      <w:r w:rsidR="00A47F48" w:rsidRPr="008D6D83">
        <w:rPr>
          <w:rFonts w:ascii="Times New Roman" w:hAnsi="Times New Roman" w:cs="Times New Roman"/>
          <w:bCs/>
        </w:rPr>
        <w:t xml:space="preserve"> </w:t>
      </w:r>
      <w:r w:rsidR="00655AF8" w:rsidRPr="008D6D83">
        <w:rPr>
          <w:rFonts w:ascii="Times New Roman" w:hAnsi="Times New Roman" w:cs="Times New Roman"/>
          <w:bCs/>
        </w:rPr>
        <w:t>201</w:t>
      </w:r>
      <w:r w:rsidR="00A47F48" w:rsidRPr="008D6D83">
        <w:rPr>
          <w:rFonts w:ascii="Times New Roman" w:hAnsi="Times New Roman" w:cs="Times New Roman"/>
          <w:bCs/>
        </w:rPr>
        <w:t>8</w:t>
      </w:r>
      <w:r w:rsidR="001D09C4" w:rsidRPr="008D6D83">
        <w:rPr>
          <w:rFonts w:ascii="Times New Roman" w:hAnsi="Times New Roman" w:cs="Times New Roman"/>
          <w:bCs/>
        </w:rPr>
        <w:t xml:space="preserve">, as estimated from the mean probability distribution of unit cost increase, </w:t>
      </w:r>
      <w:r w:rsidR="00117EA6" w:rsidRPr="008D6D83">
        <w:rPr>
          <w:rFonts w:ascii="Times New Roman" w:hAnsi="Times New Roman" w:cs="Times New Roman"/>
          <w:bCs/>
        </w:rPr>
        <w:t>is</w:t>
      </w:r>
      <w:r w:rsidR="00B85782" w:rsidRPr="008D6D83">
        <w:rPr>
          <w:rFonts w:ascii="Times New Roman" w:hAnsi="Times New Roman" w:cs="Times New Roman"/>
          <w:bCs/>
        </w:rPr>
        <w:t xml:space="preserve"> placed at </w:t>
      </w:r>
      <w:r w:rsidR="00F04669">
        <w:rPr>
          <w:rFonts w:ascii="Times New Roman" w:hAnsi="Times New Roman" w:cs="Times New Roman"/>
          <w:bCs/>
        </w:rPr>
        <w:t>4.21%</w:t>
      </w:r>
      <w:r w:rsidR="00FC49EB" w:rsidRPr="008D6D83">
        <w:rPr>
          <w:rFonts w:ascii="Times New Roman" w:hAnsi="Times New Roman" w:cs="Times New Roman"/>
          <w:bCs/>
        </w:rPr>
        <w:t xml:space="preserve">, </w:t>
      </w:r>
      <w:r w:rsidR="00B85782" w:rsidRPr="008D6D83">
        <w:rPr>
          <w:rFonts w:ascii="Times New Roman" w:hAnsi="Times New Roman" w:cs="Times New Roman"/>
          <w:bCs/>
        </w:rPr>
        <w:t xml:space="preserve">showing </w:t>
      </w:r>
      <w:r w:rsidR="0061399F" w:rsidRPr="008D6D83">
        <w:rPr>
          <w:rFonts w:ascii="Times New Roman" w:hAnsi="Times New Roman" w:cs="Times New Roman"/>
          <w:bCs/>
        </w:rPr>
        <w:t xml:space="preserve">a </w:t>
      </w:r>
      <w:r w:rsidR="00F04669">
        <w:rPr>
          <w:rFonts w:ascii="Times New Roman" w:hAnsi="Times New Roman" w:cs="Times New Roman"/>
          <w:bCs/>
        </w:rPr>
        <w:t>sharp increase</w:t>
      </w:r>
      <w:r w:rsidR="001A6746" w:rsidRPr="008D6D83">
        <w:rPr>
          <w:rFonts w:ascii="Times New Roman" w:hAnsi="Times New Roman" w:cs="Times New Roman"/>
          <w:bCs/>
        </w:rPr>
        <w:t xml:space="preserve"> </w:t>
      </w:r>
      <w:r w:rsidR="00FC49EB" w:rsidRPr="008D6D83">
        <w:rPr>
          <w:rFonts w:ascii="Times New Roman" w:hAnsi="Times New Roman" w:cs="Times New Roman"/>
          <w:bCs/>
        </w:rPr>
        <w:t xml:space="preserve">from </w:t>
      </w:r>
      <w:r w:rsidR="00F04669">
        <w:rPr>
          <w:rFonts w:ascii="Times New Roman" w:hAnsi="Times New Roman" w:cs="Times New Roman"/>
          <w:bCs/>
        </w:rPr>
        <w:t>3.73%</w:t>
      </w:r>
      <w:r w:rsidR="00FC49EB" w:rsidRPr="008D6D83">
        <w:rPr>
          <w:rFonts w:ascii="Times New Roman" w:hAnsi="Times New Roman" w:cs="Times New Roman"/>
          <w:bCs/>
        </w:rPr>
        <w:t xml:space="preserve"> observed in </w:t>
      </w:r>
      <w:r w:rsidR="00F04669">
        <w:rPr>
          <w:rFonts w:ascii="Times New Roman" w:hAnsi="Times New Roman" w:cs="Times New Roman"/>
          <w:bCs/>
        </w:rPr>
        <w:t>March</w:t>
      </w:r>
      <w:r w:rsidR="008D6D83" w:rsidRPr="008D6D83">
        <w:rPr>
          <w:rFonts w:ascii="Times New Roman" w:hAnsi="Times New Roman" w:cs="Times New Roman"/>
          <w:bCs/>
        </w:rPr>
        <w:t xml:space="preserve"> 2018</w:t>
      </w:r>
      <w:r w:rsidR="00F04669">
        <w:rPr>
          <w:rFonts w:ascii="Times New Roman" w:hAnsi="Times New Roman" w:cs="Times New Roman"/>
          <w:bCs/>
        </w:rPr>
        <w:t>.</w:t>
      </w:r>
      <w:r w:rsidR="000B078A">
        <w:rPr>
          <w:rFonts w:ascii="Times New Roman" w:hAnsi="Times New Roman" w:cs="Times New Roman"/>
          <w:bCs/>
        </w:rPr>
        <w:t xml:space="preserve"> </w:t>
      </w:r>
      <w:r w:rsidR="00F04669" w:rsidRPr="008D6D83">
        <w:rPr>
          <w:rFonts w:ascii="Times New Roman" w:hAnsi="Times New Roman" w:cs="Times New Roman"/>
          <w:bCs/>
        </w:rPr>
        <w:t xml:space="preserve">Trajectory of one year </w:t>
      </w:r>
      <w:proofErr w:type="gramStart"/>
      <w:r w:rsidR="00F04669" w:rsidRPr="008D6D83">
        <w:rPr>
          <w:rFonts w:ascii="Times New Roman" w:hAnsi="Times New Roman" w:cs="Times New Roman"/>
          <w:bCs/>
        </w:rPr>
        <w:t>ahead</w:t>
      </w:r>
      <w:proofErr w:type="gramEnd"/>
      <w:r w:rsidR="00F04669" w:rsidRPr="008D6D83">
        <w:rPr>
          <w:rFonts w:ascii="Times New Roman" w:hAnsi="Times New Roman" w:cs="Times New Roman"/>
          <w:bCs/>
        </w:rPr>
        <w:t xml:space="preserve"> business inflation expectation</w:t>
      </w:r>
      <w:r w:rsidR="00976C79">
        <w:rPr>
          <w:rFonts w:ascii="Times New Roman" w:hAnsi="Times New Roman" w:cs="Times New Roman"/>
          <w:bCs/>
        </w:rPr>
        <w:t>s</w:t>
      </w:r>
      <w:r w:rsidR="00F04669" w:rsidRPr="008D6D83">
        <w:rPr>
          <w:rFonts w:ascii="Times New Roman" w:hAnsi="Times New Roman" w:cs="Times New Roman"/>
          <w:bCs/>
        </w:rPr>
        <w:t xml:space="preserve"> </w:t>
      </w:r>
      <w:r w:rsidR="00F04669">
        <w:rPr>
          <w:rFonts w:ascii="Times New Roman" w:hAnsi="Times New Roman" w:cs="Times New Roman"/>
          <w:bCs/>
        </w:rPr>
        <w:t xml:space="preserve">for last one year </w:t>
      </w:r>
      <w:r w:rsidR="00F04669" w:rsidRPr="008D6D83">
        <w:rPr>
          <w:rFonts w:ascii="Times New Roman" w:hAnsi="Times New Roman" w:cs="Times New Roman"/>
          <w:bCs/>
        </w:rPr>
        <w:t>is presented in Chart 1.</w:t>
      </w:r>
      <w:r w:rsidR="0086778C" w:rsidRPr="008D6D83">
        <w:rPr>
          <w:rFonts w:ascii="Times New Roman" w:hAnsi="Times New Roman" w:cs="Times New Roman"/>
          <w:bCs/>
        </w:rPr>
        <w:t xml:space="preserve"> </w:t>
      </w:r>
      <w:r w:rsidR="00655AF8" w:rsidRPr="008D6D83">
        <w:rPr>
          <w:rFonts w:ascii="Times New Roman" w:hAnsi="Times New Roman" w:cs="Times New Roman"/>
          <w:bCs/>
        </w:rPr>
        <w:t xml:space="preserve"> </w:t>
      </w:r>
    </w:p>
    <w:p w14:paraId="3A77DB55" w14:textId="77777777" w:rsidR="00FC49EB" w:rsidRPr="00FC49EB" w:rsidRDefault="00FC49EB" w:rsidP="00FC49EB">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4B7E83C9" w14:textId="705BDCF5" w:rsidR="001D09C4" w:rsidRPr="00025620" w:rsidRDefault="001D09C4" w:rsidP="00FC49E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1C51A0">
        <w:rPr>
          <w:rFonts w:ascii="Times New Roman" w:hAnsi="Times New Roman" w:cs="Times New Roman"/>
          <w:bCs/>
        </w:rPr>
        <w:t>s</w:t>
      </w:r>
      <w:r w:rsidR="00D3337A">
        <w:rPr>
          <w:rFonts w:ascii="Times New Roman" w:hAnsi="Times New Roman" w:cs="Times New Roman"/>
          <w:bCs/>
        </w:rPr>
        <w:t xml:space="preserve"> in </w:t>
      </w:r>
      <w:r w:rsidR="00C42227">
        <w:rPr>
          <w:rFonts w:ascii="Times New Roman" w:hAnsi="Times New Roman" w:cs="Times New Roman"/>
          <w:bCs/>
        </w:rPr>
        <w:t>April</w:t>
      </w:r>
      <w:r w:rsidR="001A6746">
        <w:rPr>
          <w:rFonts w:ascii="Times New Roman" w:hAnsi="Times New Roman" w:cs="Times New Roman"/>
          <w:bCs/>
        </w:rPr>
        <w:t xml:space="preserve"> 2018</w:t>
      </w:r>
      <w:r w:rsidRPr="00FC49EB">
        <w:rPr>
          <w:rFonts w:ascii="Times New Roman" w:hAnsi="Times New Roman" w:cs="Times New Roman"/>
          <w:bCs/>
        </w:rPr>
        <w:t xml:space="preserve">, as captured by the </w:t>
      </w:r>
      <w:r w:rsidR="00166A4E">
        <w:rPr>
          <w:rFonts w:ascii="Times New Roman" w:hAnsi="Times New Roman" w:cs="Times New Roman"/>
          <w:bCs/>
        </w:rPr>
        <w:t xml:space="preserve">square root of the </w:t>
      </w:r>
      <w:r w:rsidR="00231EFD">
        <w:rPr>
          <w:rFonts w:ascii="Times New Roman" w:hAnsi="Times New Roman" w:cs="Times New Roman"/>
          <w:bCs/>
        </w:rPr>
        <w:t xml:space="preserve">average </w:t>
      </w:r>
      <w:r w:rsidR="00166A4E">
        <w:rPr>
          <w:rFonts w:ascii="Times New Roman" w:hAnsi="Times New Roman" w:cs="Times New Roman"/>
          <w:bCs/>
        </w:rPr>
        <w:t>variance o</w:t>
      </w:r>
      <w:r w:rsidRPr="00FC49EB">
        <w:rPr>
          <w:rFonts w:ascii="Times New Roman" w:hAnsi="Times New Roman" w:cs="Times New Roman"/>
          <w:bCs/>
        </w:rPr>
        <w:t xml:space="preserve">f the </w:t>
      </w:r>
      <w:r w:rsidR="00C96C66">
        <w:rPr>
          <w:rFonts w:ascii="Times New Roman" w:hAnsi="Times New Roman" w:cs="Times New Roman"/>
          <w:bCs/>
        </w:rPr>
        <w:t xml:space="preserve">individual </w:t>
      </w:r>
      <w:r w:rsidRPr="00FC49EB">
        <w:rPr>
          <w:rFonts w:ascii="Times New Roman" w:hAnsi="Times New Roman" w:cs="Times New Roman"/>
          <w:bCs/>
        </w:rPr>
        <w:t>mean probability distribution</w:t>
      </w:r>
      <w:r w:rsidR="00166A4E">
        <w:rPr>
          <w:rFonts w:ascii="Times New Roman" w:hAnsi="Times New Roman" w:cs="Times New Roman"/>
          <w:bCs/>
        </w:rPr>
        <w:t>s</w:t>
      </w:r>
      <w:r w:rsidR="00B215BA">
        <w:rPr>
          <w:rFonts w:ascii="Times New Roman" w:hAnsi="Times New Roman" w:cs="Times New Roman"/>
          <w:bCs/>
        </w:rPr>
        <w:t>,</w:t>
      </w:r>
      <w:r w:rsidRPr="00FC49EB">
        <w:rPr>
          <w:rFonts w:ascii="Times New Roman" w:hAnsi="Times New Roman" w:cs="Times New Roman"/>
          <w:bCs/>
        </w:rPr>
        <w:t xml:space="preserve"> is estimated to be </w:t>
      </w:r>
      <w:r w:rsidR="00764EB1">
        <w:rPr>
          <w:rFonts w:ascii="Times New Roman" w:hAnsi="Times New Roman" w:cs="Times New Roman"/>
          <w:bCs/>
        </w:rPr>
        <w:t>2.24%</w:t>
      </w:r>
      <w:r w:rsidR="00B215BA">
        <w:rPr>
          <w:rFonts w:ascii="Times New Roman" w:hAnsi="Times New Roman" w:cs="Times New Roman"/>
          <w:bCs/>
        </w:rPr>
        <w:t xml:space="preserve"> (</w:t>
      </w:r>
      <w:r w:rsidR="00764EB1">
        <w:rPr>
          <w:rFonts w:ascii="Times New Roman" w:hAnsi="Times New Roman" w:cs="Times New Roman"/>
          <w:bCs/>
        </w:rPr>
        <w:t>sharply increased from 1.99</w:t>
      </w:r>
      <w:r w:rsidR="00764EB1" w:rsidRPr="00FC49EB">
        <w:rPr>
          <w:rFonts w:ascii="Times New Roman" w:hAnsi="Times New Roman" w:cs="Times New Roman"/>
          <w:bCs/>
        </w:rPr>
        <w:t>%</w:t>
      </w:r>
      <w:r w:rsidR="00764EB1">
        <w:rPr>
          <w:rFonts w:ascii="Times New Roman" w:hAnsi="Times New Roman" w:cs="Times New Roman"/>
          <w:bCs/>
        </w:rPr>
        <w:t xml:space="preserve"> </w:t>
      </w:r>
      <w:r w:rsidR="00B215BA">
        <w:rPr>
          <w:rFonts w:ascii="Times New Roman" w:hAnsi="Times New Roman" w:cs="Times New Roman"/>
          <w:bCs/>
        </w:rPr>
        <w:t xml:space="preserve">observed in </w:t>
      </w:r>
      <w:r w:rsidR="00764EB1">
        <w:rPr>
          <w:rFonts w:ascii="Times New Roman" w:hAnsi="Times New Roman" w:cs="Times New Roman"/>
          <w:bCs/>
        </w:rPr>
        <w:t>March</w:t>
      </w:r>
      <w:r w:rsidR="00FB3733">
        <w:rPr>
          <w:rFonts w:ascii="Times New Roman" w:hAnsi="Times New Roman" w:cs="Times New Roman"/>
          <w:bCs/>
        </w:rPr>
        <w:t xml:space="preserve"> 2018</w:t>
      </w:r>
      <w:r w:rsidR="00B215BA">
        <w:rPr>
          <w:rFonts w:ascii="Times New Roman" w:hAnsi="Times New Roman" w:cs="Times New Roman"/>
          <w:bCs/>
        </w:rPr>
        <w:t>)</w:t>
      </w:r>
      <w:r w:rsidRPr="00FC49EB">
        <w:rPr>
          <w:rFonts w:ascii="Times New Roman" w:hAnsi="Times New Roman" w:cs="Times New Roman"/>
          <w:bCs/>
        </w:rPr>
        <w:t>.</w:t>
      </w:r>
    </w:p>
    <w:p w14:paraId="09A44487" w14:textId="77777777" w:rsidR="00025620" w:rsidRPr="00FC49EB" w:rsidRDefault="00025620" w:rsidP="0002562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2BC81099" w14:textId="5F10A092" w:rsidR="001D09C4" w:rsidRPr="00FB3733"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 xml:space="preserve">One year </w:t>
      </w:r>
      <w:proofErr w:type="gramStart"/>
      <w:r w:rsidR="00FB3733" w:rsidRPr="00FB3733">
        <w:rPr>
          <w:rFonts w:ascii="Times New Roman" w:hAnsi="Times New Roman" w:cs="Times New Roman"/>
          <w:b/>
          <w:bCs/>
        </w:rPr>
        <w:t>ahead</w:t>
      </w:r>
      <w:proofErr w:type="gramEnd"/>
      <w:r w:rsidR="00FB3733" w:rsidRPr="00FB3733">
        <w:rPr>
          <w:rFonts w:ascii="Times New Roman" w:hAnsi="Times New Roman" w:cs="Times New Roman"/>
          <w:b/>
          <w:bCs/>
        </w:rPr>
        <w:t xml:space="preserve">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750894E7" w14:textId="3EAF8C90" w:rsidR="00B70FC1" w:rsidRDefault="00B70FC1" w:rsidP="001D09C4">
      <w:pPr>
        <w:spacing w:after="0" w:line="240" w:lineRule="auto"/>
        <w:jc w:val="center"/>
        <w:rPr>
          <w:rFonts w:ascii="Times New Roman" w:hAnsi="Times New Roman" w:cs="Times New Roman"/>
          <w:b/>
        </w:rPr>
      </w:pPr>
    </w:p>
    <w:p w14:paraId="6FB05085" w14:textId="4C441190" w:rsidR="00B70FC1" w:rsidRDefault="00F04669" w:rsidP="001D09C4">
      <w:pPr>
        <w:spacing w:after="0" w:line="240" w:lineRule="auto"/>
        <w:jc w:val="center"/>
        <w:rPr>
          <w:noProof/>
          <w:lang w:val="en-US"/>
        </w:rPr>
      </w:pPr>
      <w:r>
        <w:rPr>
          <w:noProof/>
          <w:lang w:val="en-US"/>
        </w:rPr>
        <w:drawing>
          <wp:inline distT="0" distB="0" distL="0" distR="0" wp14:anchorId="6A629275" wp14:editId="4D788C45">
            <wp:extent cx="5086350" cy="23145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2ACD05" w14:textId="77777777" w:rsidR="00021AB1" w:rsidRDefault="00021AB1" w:rsidP="001D09C4">
      <w:pPr>
        <w:spacing w:after="0" w:line="240" w:lineRule="auto"/>
        <w:jc w:val="center"/>
        <w:rPr>
          <w:noProof/>
          <w:lang w:val="en-US"/>
        </w:rPr>
      </w:pPr>
    </w:p>
    <w:p w14:paraId="6E3BC7AA" w14:textId="688A2577" w:rsidR="00025620" w:rsidRPr="00F046DB" w:rsidRDefault="00025620" w:rsidP="0002562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w:t>
      </w:r>
      <w:proofErr w:type="gramStart"/>
      <w:r w:rsidRPr="00F046DB">
        <w:rPr>
          <w:rFonts w:ascii="Times New Roman" w:hAnsi="Times New Roman" w:cs="Times New Roman"/>
          <w:bCs/>
        </w:rPr>
        <w:t>ahead</w:t>
      </w:r>
      <w:proofErr w:type="gramEnd"/>
      <w:r w:rsidRPr="00F046DB">
        <w:rPr>
          <w:rFonts w:ascii="Times New Roman" w:hAnsi="Times New Roman" w:cs="Times New Roman"/>
          <w:bCs/>
        </w:rPr>
        <w:t xml:space="preserve"> CPI </w:t>
      </w:r>
      <w:r w:rsidR="00B6059C" w:rsidRPr="00F046DB">
        <w:rPr>
          <w:rFonts w:ascii="Times New Roman" w:hAnsi="Times New Roman" w:cs="Times New Roman"/>
          <w:bCs/>
        </w:rPr>
        <w:t xml:space="preserve">headline </w:t>
      </w:r>
      <w:r w:rsidRPr="00F046DB">
        <w:rPr>
          <w:rFonts w:ascii="Times New Roman" w:hAnsi="Times New Roman" w:cs="Times New Roman"/>
          <w:bCs/>
        </w:rPr>
        <w:t xml:space="preserve">inflation through an additional question using a probability distribution. </w:t>
      </w:r>
      <w:r>
        <w:rPr>
          <w:rFonts w:ascii="Times New Roman" w:hAnsi="Times New Roman" w:cs="Times New Roman"/>
          <w:bCs/>
        </w:rPr>
        <w:t>This question is being repeated now in every alternate month</w:t>
      </w:r>
      <w:r w:rsidR="00B5663F">
        <w:rPr>
          <w:rFonts w:ascii="Times New Roman" w:hAnsi="Times New Roman" w:cs="Times New Roman"/>
          <w:bCs/>
        </w:rPr>
        <w:t xml:space="preserve">, coinciding with </w:t>
      </w:r>
      <w:r w:rsidR="00B6059C">
        <w:rPr>
          <w:rFonts w:ascii="Times New Roman" w:hAnsi="Times New Roman" w:cs="Times New Roman"/>
          <w:bCs/>
        </w:rPr>
        <w:t xml:space="preserve">the month of </w:t>
      </w:r>
      <w:r w:rsidR="00B5663F">
        <w:rPr>
          <w:rFonts w:ascii="Times New Roman" w:hAnsi="Times New Roman" w:cs="Times New Roman"/>
          <w:bCs/>
        </w:rPr>
        <w:t xml:space="preserve">RBI’s </w:t>
      </w:r>
      <w:r w:rsidR="00B6059C">
        <w:rPr>
          <w:rFonts w:ascii="Times New Roman" w:hAnsi="Times New Roman" w:cs="Times New Roman"/>
          <w:bCs/>
        </w:rPr>
        <w:t xml:space="preserve">bi-monthly </w:t>
      </w:r>
      <w:r w:rsidR="00B5663F">
        <w:rPr>
          <w:rFonts w:ascii="Times New Roman" w:hAnsi="Times New Roman" w:cs="Times New Roman"/>
          <w:bCs/>
        </w:rPr>
        <w:t>monetary policy announcements</w:t>
      </w:r>
      <w:r>
        <w:rPr>
          <w:rFonts w:ascii="Times New Roman" w:hAnsi="Times New Roman" w:cs="Times New Roman"/>
          <w:bCs/>
        </w:rPr>
        <w:t>.</w:t>
      </w:r>
    </w:p>
    <w:p w14:paraId="0667ADE3" w14:textId="77777777" w:rsidR="00025620" w:rsidRPr="00F046DB" w:rsidRDefault="00025620" w:rsidP="00025620">
      <w:pPr>
        <w:pStyle w:val="ListParagraph"/>
        <w:spacing w:after="0" w:line="240" w:lineRule="auto"/>
        <w:jc w:val="both"/>
        <w:rPr>
          <w:rFonts w:ascii="Arial" w:eastAsia="Times New Roman" w:hAnsi="Arial" w:cs="Arial"/>
          <w:b/>
          <w:color w:val="222222"/>
          <w:sz w:val="32"/>
          <w:szCs w:val="32"/>
          <w:shd w:val="clear" w:color="auto" w:fill="FFFFFF"/>
          <w:lang w:val="en-GB" w:eastAsia="en-GB"/>
        </w:rPr>
      </w:pPr>
    </w:p>
    <w:p w14:paraId="52868AF2" w14:textId="24AA136D" w:rsidR="00025620" w:rsidRPr="00025620" w:rsidRDefault="00196273" w:rsidP="0002562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00025620" w:rsidRPr="0086778C">
        <w:rPr>
          <w:rFonts w:ascii="Times New Roman" w:hAnsi="Times New Roman" w:cs="Times New Roman"/>
          <w:bCs/>
        </w:rPr>
        <w:t xml:space="preserve">esults indicate that businesses in </w:t>
      </w:r>
      <w:r w:rsidR="00B5663F">
        <w:rPr>
          <w:rFonts w:ascii="Times New Roman" w:hAnsi="Times New Roman" w:cs="Times New Roman"/>
          <w:bCs/>
        </w:rPr>
        <w:t>April</w:t>
      </w:r>
      <w:r w:rsidR="00025620">
        <w:rPr>
          <w:rFonts w:ascii="Times New Roman" w:hAnsi="Times New Roman" w:cs="Times New Roman"/>
          <w:bCs/>
        </w:rPr>
        <w:t xml:space="preserve"> 2018</w:t>
      </w:r>
      <w:r w:rsidR="00025620" w:rsidRPr="0086778C">
        <w:rPr>
          <w:rFonts w:ascii="Times New Roman" w:hAnsi="Times New Roman" w:cs="Times New Roman"/>
          <w:bCs/>
        </w:rPr>
        <w:t xml:space="preserve"> expect one year ahead CPI </w:t>
      </w:r>
      <w:r w:rsidR="00976C79">
        <w:rPr>
          <w:rFonts w:ascii="Times New Roman" w:hAnsi="Times New Roman" w:cs="Times New Roman"/>
          <w:bCs/>
        </w:rPr>
        <w:t xml:space="preserve">headline </w:t>
      </w:r>
      <w:r w:rsidR="00025620" w:rsidRPr="0086778C">
        <w:rPr>
          <w:rFonts w:ascii="Times New Roman" w:hAnsi="Times New Roman" w:cs="Times New Roman"/>
          <w:bCs/>
        </w:rPr>
        <w:t xml:space="preserve">inflation to be </w:t>
      </w:r>
      <w:r w:rsidR="00025620">
        <w:rPr>
          <w:rFonts w:ascii="Times New Roman" w:hAnsi="Times New Roman" w:cs="Times New Roman"/>
          <w:bCs/>
        </w:rPr>
        <w:t>4.</w:t>
      </w:r>
      <w:r w:rsidR="00B5663F">
        <w:rPr>
          <w:rFonts w:ascii="Times New Roman" w:hAnsi="Times New Roman" w:cs="Times New Roman"/>
          <w:bCs/>
        </w:rPr>
        <w:t>67</w:t>
      </w:r>
      <w:r w:rsidR="00025620" w:rsidRPr="0086778C">
        <w:rPr>
          <w:rFonts w:ascii="Times New Roman" w:hAnsi="Times New Roman" w:cs="Times New Roman"/>
          <w:bCs/>
        </w:rPr>
        <w:t>%</w:t>
      </w:r>
      <w:r w:rsidR="00FC5739">
        <w:rPr>
          <w:rFonts w:ascii="Times New Roman" w:hAnsi="Times New Roman" w:cs="Times New Roman"/>
          <w:bCs/>
        </w:rPr>
        <w:t xml:space="preserve"> (significantly up from 4.1% observed in February 2018)</w:t>
      </w:r>
      <w:r w:rsidR="00025620" w:rsidRPr="0086778C">
        <w:rPr>
          <w:rFonts w:ascii="Times New Roman" w:hAnsi="Times New Roman" w:cs="Times New Roman"/>
          <w:bCs/>
        </w:rPr>
        <w:t>, with a relatively low standard deviation of 1.</w:t>
      </w:r>
      <w:r w:rsidR="00E61745">
        <w:rPr>
          <w:rFonts w:ascii="Times New Roman" w:hAnsi="Times New Roman" w:cs="Times New Roman"/>
          <w:bCs/>
        </w:rPr>
        <w:t>18</w:t>
      </w:r>
      <w:r w:rsidR="00025620" w:rsidRPr="0086778C">
        <w:rPr>
          <w:rFonts w:ascii="Times New Roman" w:hAnsi="Times New Roman" w:cs="Times New Roman"/>
          <w:bCs/>
        </w:rPr>
        <w:t>% (Chart 2).</w:t>
      </w:r>
      <w:r w:rsidR="00025620">
        <w:rPr>
          <w:rFonts w:ascii="Times New Roman" w:hAnsi="Times New Roman" w:cs="Times New Roman"/>
          <w:bCs/>
        </w:rPr>
        <w:t xml:space="preserve"> </w:t>
      </w:r>
    </w:p>
    <w:p w14:paraId="00361E95" w14:textId="77777777" w:rsidR="00FC5739" w:rsidRDefault="00FC5739" w:rsidP="00025620">
      <w:pPr>
        <w:spacing w:after="0" w:line="240" w:lineRule="auto"/>
        <w:jc w:val="center"/>
        <w:rPr>
          <w:rFonts w:ascii="Times New Roman" w:hAnsi="Times New Roman" w:cs="Times New Roman"/>
          <w:b/>
        </w:rPr>
      </w:pPr>
    </w:p>
    <w:p w14:paraId="0E8D4992" w14:textId="147D0F01" w:rsidR="00025620" w:rsidRDefault="00025620" w:rsidP="00025620">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 xml:space="preserve">Expected CPI </w:t>
      </w:r>
      <w:r w:rsidR="00FC5739">
        <w:rPr>
          <w:rFonts w:ascii="Times New Roman" w:hAnsi="Times New Roman" w:cs="Times New Roman"/>
          <w:b/>
        </w:rPr>
        <w:t xml:space="preserve">headline </w:t>
      </w:r>
      <w:r>
        <w:rPr>
          <w:rFonts w:ascii="Times New Roman" w:hAnsi="Times New Roman" w:cs="Times New Roman"/>
          <w:b/>
        </w:rPr>
        <w:t>inflation</w:t>
      </w:r>
      <w:r w:rsidRPr="00ED330C">
        <w:rPr>
          <w:rFonts w:ascii="Times New Roman" w:hAnsi="Times New Roman" w:cs="Times New Roman"/>
          <w:b/>
        </w:rPr>
        <w:t xml:space="preserve"> </w:t>
      </w:r>
      <w:r>
        <w:rPr>
          <w:rFonts w:ascii="Times New Roman" w:hAnsi="Times New Roman" w:cs="Times New Roman"/>
          <w:b/>
        </w:rPr>
        <w:t xml:space="preserve">(one year ahead) </w:t>
      </w:r>
      <w:r w:rsidRPr="00ED330C">
        <w:rPr>
          <w:rFonts w:ascii="Times New Roman" w:hAnsi="Times New Roman" w:cs="Times New Roman"/>
          <w:b/>
        </w:rPr>
        <w:t xml:space="preserve">- mean probability </w:t>
      </w:r>
      <w:r>
        <w:rPr>
          <w:rFonts w:ascii="Times New Roman" w:hAnsi="Times New Roman" w:cs="Times New Roman"/>
          <w:b/>
        </w:rPr>
        <w:t xml:space="preserve">(%) </w:t>
      </w:r>
      <w:r w:rsidRPr="00ED330C">
        <w:rPr>
          <w:rFonts w:ascii="Times New Roman" w:hAnsi="Times New Roman" w:cs="Times New Roman"/>
          <w:b/>
        </w:rPr>
        <w:t>distribution</w:t>
      </w:r>
    </w:p>
    <w:p w14:paraId="5D4C2FD8" w14:textId="77777777" w:rsidR="00025620" w:rsidRDefault="00025620" w:rsidP="00025620">
      <w:pPr>
        <w:tabs>
          <w:tab w:val="left" w:pos="495"/>
        </w:tabs>
        <w:spacing w:after="0" w:line="240" w:lineRule="auto"/>
        <w:rPr>
          <w:noProof/>
          <w:lang w:val="en-US"/>
        </w:rPr>
      </w:pPr>
      <w:r>
        <w:rPr>
          <w:noProof/>
          <w:lang w:val="en-US"/>
        </w:rPr>
        <w:tab/>
      </w:r>
    </w:p>
    <w:p w14:paraId="36DE0D1E" w14:textId="1615F957" w:rsidR="00FC5739" w:rsidRDefault="00FC5739" w:rsidP="00FC5739">
      <w:pPr>
        <w:tabs>
          <w:tab w:val="left" w:pos="495"/>
        </w:tabs>
        <w:spacing w:after="0" w:line="240" w:lineRule="auto"/>
        <w:jc w:val="center"/>
        <w:rPr>
          <w:noProof/>
          <w:lang w:val="en-US"/>
        </w:rPr>
      </w:pPr>
      <w:r>
        <w:rPr>
          <w:noProof/>
          <w:lang w:val="en-US"/>
        </w:rPr>
        <w:drawing>
          <wp:inline distT="0" distB="0" distL="0" distR="0" wp14:anchorId="640B3E25" wp14:editId="2CE249CE">
            <wp:extent cx="5334000" cy="22574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AA152E" w14:textId="77777777" w:rsidR="00FC5739" w:rsidRDefault="00FC5739" w:rsidP="00025620">
      <w:pPr>
        <w:tabs>
          <w:tab w:val="left" w:pos="495"/>
        </w:tabs>
        <w:spacing w:after="0" w:line="240" w:lineRule="auto"/>
        <w:rPr>
          <w:noProof/>
          <w:lang w:val="en-US"/>
        </w:rPr>
      </w:pPr>
    </w:p>
    <w:p w14:paraId="32E564A0" w14:textId="448535B1"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160018B0" w14:textId="77777777" w:rsidR="00E0056C" w:rsidRDefault="00E0056C" w:rsidP="00AA63A1">
      <w:pPr>
        <w:spacing w:after="0" w:line="240" w:lineRule="auto"/>
        <w:rPr>
          <w:rFonts w:ascii="Times New Roman" w:hAnsi="Times New Roman" w:cs="Times New Roman"/>
          <w:b/>
          <w:bCs/>
        </w:rPr>
      </w:pPr>
    </w:p>
    <w:p w14:paraId="57D250F0" w14:textId="331A63FD" w:rsidR="00FC49EB" w:rsidRDefault="00151017" w:rsidP="00FC49EB">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Regarding</w:t>
      </w:r>
      <w:r w:rsidR="00AA63A1" w:rsidRPr="004442DD">
        <w:rPr>
          <w:rFonts w:ascii="Times New Roman" w:hAnsi="Times New Roman" w:cs="Times New Roman"/>
        </w:rPr>
        <w:t xml:space="preserve"> cost perceptions, </w:t>
      </w:r>
      <w:r w:rsidR="003B4A6B" w:rsidRPr="004442DD">
        <w:rPr>
          <w:rFonts w:ascii="Times New Roman" w:hAnsi="Times New Roman" w:cs="Times New Roman"/>
        </w:rPr>
        <w:t>around</w:t>
      </w:r>
      <w:r w:rsidR="00AA63A1" w:rsidRPr="004442DD">
        <w:rPr>
          <w:rFonts w:ascii="Times New Roman" w:hAnsi="Times New Roman" w:cs="Times New Roman"/>
        </w:rPr>
        <w:t xml:space="preserve"> </w:t>
      </w:r>
      <w:r w:rsidR="00687378" w:rsidRPr="004442DD">
        <w:rPr>
          <w:rFonts w:ascii="Times New Roman" w:hAnsi="Times New Roman" w:cs="Times New Roman"/>
        </w:rPr>
        <w:t>5</w:t>
      </w:r>
      <w:r w:rsidR="00943D62" w:rsidRPr="004442DD">
        <w:rPr>
          <w:rFonts w:ascii="Times New Roman" w:hAnsi="Times New Roman" w:cs="Times New Roman"/>
        </w:rPr>
        <w:t>7</w:t>
      </w:r>
      <w:r w:rsidR="00AA63A1" w:rsidRPr="004442DD">
        <w:rPr>
          <w:rFonts w:ascii="Times New Roman" w:hAnsi="Times New Roman" w:cs="Times New Roman"/>
        </w:rPr>
        <w:t xml:space="preserve">% of the firms </w:t>
      </w:r>
      <w:r w:rsidR="003B4A6B" w:rsidRPr="004442DD">
        <w:rPr>
          <w:rFonts w:ascii="Times New Roman" w:hAnsi="Times New Roman" w:cs="Times New Roman"/>
        </w:rPr>
        <w:t xml:space="preserve">in </w:t>
      </w:r>
      <w:r w:rsidR="00943D62" w:rsidRPr="004442DD">
        <w:rPr>
          <w:rFonts w:ascii="Times New Roman" w:hAnsi="Times New Roman" w:cs="Times New Roman"/>
        </w:rPr>
        <w:t xml:space="preserve">April </w:t>
      </w:r>
      <w:r w:rsidR="004B0842" w:rsidRPr="004442DD">
        <w:rPr>
          <w:rFonts w:ascii="Times New Roman" w:hAnsi="Times New Roman" w:cs="Times New Roman"/>
        </w:rPr>
        <w:t>2018</w:t>
      </w:r>
      <w:r w:rsidR="003B4A6B" w:rsidRPr="004442DD">
        <w:rPr>
          <w:rFonts w:ascii="Times New Roman" w:hAnsi="Times New Roman" w:cs="Times New Roman"/>
        </w:rPr>
        <w:t xml:space="preserve"> </w:t>
      </w:r>
      <w:r w:rsidR="00AA63A1" w:rsidRPr="004442DD">
        <w:rPr>
          <w:rFonts w:ascii="Times New Roman" w:hAnsi="Times New Roman" w:cs="Times New Roman"/>
        </w:rPr>
        <w:t>reported that increase</w:t>
      </w:r>
      <w:r w:rsidR="00F046DB" w:rsidRPr="004442DD">
        <w:rPr>
          <w:rFonts w:ascii="Times New Roman" w:hAnsi="Times New Roman" w:cs="Times New Roman"/>
        </w:rPr>
        <w:t xml:space="preserve"> in costs</w:t>
      </w:r>
      <w:r w:rsidR="00AA63A1" w:rsidRPr="004442DD">
        <w:rPr>
          <w:rFonts w:ascii="Times New Roman" w:hAnsi="Times New Roman" w:cs="Times New Roman"/>
        </w:rPr>
        <w:t xml:space="preserve"> has </w:t>
      </w:r>
      <w:r w:rsidR="000E4289" w:rsidRPr="004442DD">
        <w:rPr>
          <w:rFonts w:ascii="Times New Roman" w:hAnsi="Times New Roman" w:cs="Times New Roman"/>
        </w:rPr>
        <w:t xml:space="preserve">been more </w:t>
      </w:r>
      <w:r w:rsidR="00AA63A1" w:rsidRPr="004442DD">
        <w:rPr>
          <w:rFonts w:ascii="Times New Roman" w:hAnsi="Times New Roman" w:cs="Times New Roman"/>
        </w:rPr>
        <w:t xml:space="preserve">than 3% during last one year (Chart </w:t>
      </w:r>
      <w:r w:rsidR="0031287C">
        <w:rPr>
          <w:rFonts w:ascii="Times New Roman" w:hAnsi="Times New Roman" w:cs="Times New Roman"/>
        </w:rPr>
        <w:t>3</w:t>
      </w:r>
      <w:r w:rsidR="00AA63A1" w:rsidRPr="004442DD">
        <w:rPr>
          <w:rFonts w:ascii="Times New Roman" w:hAnsi="Times New Roman" w:cs="Times New Roman"/>
        </w:rPr>
        <w:t xml:space="preserve">). </w:t>
      </w:r>
      <w:r w:rsidR="00BB2EDA" w:rsidRPr="004442DD">
        <w:rPr>
          <w:rFonts w:ascii="Times New Roman" w:hAnsi="Times New Roman" w:cs="Times New Roman"/>
        </w:rPr>
        <w:t>Th</w:t>
      </w:r>
      <w:r w:rsidR="00943D62" w:rsidRPr="004442DD">
        <w:rPr>
          <w:rFonts w:ascii="Times New Roman" w:hAnsi="Times New Roman" w:cs="Times New Roman"/>
        </w:rPr>
        <w:t>e</w:t>
      </w:r>
      <w:r w:rsidR="00BB2EDA" w:rsidRPr="004442DD">
        <w:rPr>
          <w:rFonts w:ascii="Times New Roman" w:hAnsi="Times New Roman" w:cs="Times New Roman"/>
        </w:rPr>
        <w:t xml:space="preserve"> proportion </w:t>
      </w:r>
      <w:r w:rsidR="00943D62" w:rsidRPr="004442DD">
        <w:rPr>
          <w:rFonts w:ascii="Times New Roman" w:hAnsi="Times New Roman" w:cs="Times New Roman"/>
        </w:rPr>
        <w:t xml:space="preserve">of firms perceiving significant cost increase has </w:t>
      </w:r>
      <w:r w:rsidR="004442DD" w:rsidRPr="004442DD">
        <w:rPr>
          <w:rFonts w:ascii="Times New Roman" w:hAnsi="Times New Roman" w:cs="Times New Roman"/>
        </w:rPr>
        <w:t>gone up sharply to 33% in April 2018</w:t>
      </w:r>
      <w:r w:rsidR="002E5927">
        <w:rPr>
          <w:rFonts w:ascii="Times New Roman" w:hAnsi="Times New Roman" w:cs="Times New Roman"/>
        </w:rPr>
        <w:t>.</w:t>
      </w:r>
      <w:r w:rsidR="004442DD" w:rsidRPr="004442DD">
        <w:rPr>
          <w:rFonts w:ascii="Times New Roman" w:hAnsi="Times New Roman" w:cs="Times New Roman"/>
        </w:rPr>
        <w:t xml:space="preserve"> </w:t>
      </w:r>
    </w:p>
    <w:p w14:paraId="0A65F593" w14:textId="77777777" w:rsidR="004442DD" w:rsidRPr="004442DD" w:rsidRDefault="004442DD" w:rsidP="004442DD">
      <w:pPr>
        <w:pStyle w:val="ListParagraph"/>
        <w:spacing w:after="0" w:line="240" w:lineRule="auto"/>
        <w:jc w:val="both"/>
        <w:rPr>
          <w:rFonts w:ascii="Times New Roman" w:hAnsi="Times New Roman" w:cs="Times New Roman"/>
        </w:rPr>
      </w:pPr>
    </w:p>
    <w:p w14:paraId="4A09BD89" w14:textId="3BFA2500"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31287C">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3330125D" w14:textId="77777777" w:rsidR="00D925B4" w:rsidRDefault="00D925B4" w:rsidP="00AA63A1">
      <w:pPr>
        <w:spacing w:after="0" w:line="240" w:lineRule="auto"/>
        <w:jc w:val="center"/>
        <w:rPr>
          <w:rFonts w:ascii="Times New Roman" w:hAnsi="Times New Roman" w:cs="Times New Roman"/>
          <w:b/>
          <w:bCs/>
          <w:lang w:val="en-US"/>
        </w:rPr>
      </w:pPr>
    </w:p>
    <w:p w14:paraId="1431A07C" w14:textId="742D8FF1" w:rsidR="00943D62" w:rsidRDefault="00943D62" w:rsidP="00AA63A1">
      <w:pPr>
        <w:spacing w:after="0" w:line="240" w:lineRule="auto"/>
        <w:jc w:val="center"/>
        <w:rPr>
          <w:rFonts w:ascii="Times New Roman" w:hAnsi="Times New Roman" w:cs="Times New Roman"/>
          <w:b/>
          <w:bCs/>
          <w:lang w:val="en-US"/>
        </w:rPr>
      </w:pPr>
      <w:r>
        <w:rPr>
          <w:noProof/>
          <w:lang w:val="en-US"/>
        </w:rPr>
        <w:drawing>
          <wp:inline distT="0" distB="0" distL="0" distR="0" wp14:anchorId="12F8024C" wp14:editId="5AE79A68">
            <wp:extent cx="5367131" cy="2107095"/>
            <wp:effectExtent l="0" t="0" r="24130"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DF5855" w14:textId="4EE67D6D" w:rsidR="00D925B4" w:rsidRDefault="00D925B4" w:rsidP="00AA63A1">
      <w:pPr>
        <w:spacing w:after="0" w:line="240" w:lineRule="auto"/>
        <w:jc w:val="center"/>
        <w:rPr>
          <w:noProof/>
          <w:lang w:val="en-US"/>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3A17749D" w14:textId="563A1B6D" w:rsidR="001655AC" w:rsidRPr="001655AC" w:rsidRDefault="00196273" w:rsidP="003B4A6B">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Around </w:t>
      </w:r>
      <w:r w:rsidR="001655AC" w:rsidRPr="001655AC">
        <w:rPr>
          <w:rFonts w:ascii="Times New Roman" w:hAnsi="Times New Roman" w:cs="Times New Roman"/>
        </w:rPr>
        <w:t>46</w:t>
      </w:r>
      <w:r w:rsidR="00407044" w:rsidRPr="001655AC">
        <w:rPr>
          <w:rFonts w:ascii="Times New Roman" w:hAnsi="Times New Roman" w:cs="Times New Roman"/>
        </w:rPr>
        <w:t xml:space="preserve">% </w:t>
      </w:r>
      <w:r w:rsidR="00D005C5" w:rsidRPr="001655AC">
        <w:rPr>
          <w:rFonts w:ascii="Times New Roman" w:hAnsi="Times New Roman" w:cs="Times New Roman"/>
        </w:rPr>
        <w:t>of the firms</w:t>
      </w:r>
      <w:r w:rsidR="00407044" w:rsidRPr="001655AC">
        <w:rPr>
          <w:rFonts w:ascii="Times New Roman" w:hAnsi="Times New Roman" w:cs="Times New Roman"/>
        </w:rPr>
        <w:t xml:space="preserve"> </w:t>
      </w:r>
      <w:r w:rsidR="00AA63A1" w:rsidRPr="001655AC">
        <w:rPr>
          <w:rFonts w:ascii="Times New Roman" w:hAnsi="Times New Roman" w:cs="Times New Roman"/>
        </w:rPr>
        <w:t xml:space="preserve">in the sample reported that sales are </w:t>
      </w:r>
      <w:r w:rsidR="0093664C" w:rsidRPr="001655AC">
        <w:rPr>
          <w:rFonts w:ascii="Times New Roman" w:hAnsi="Times New Roman" w:cs="Times New Roman"/>
        </w:rPr>
        <w:t>‘</w:t>
      </w:r>
      <w:r w:rsidR="001655AC" w:rsidRPr="001655AC">
        <w:rPr>
          <w:rFonts w:ascii="Times New Roman" w:hAnsi="Times New Roman" w:cs="Times New Roman"/>
        </w:rPr>
        <w:t xml:space="preserve">normal or greater than </w:t>
      </w:r>
      <w:r w:rsidR="00AA63A1" w:rsidRPr="001655AC">
        <w:rPr>
          <w:rFonts w:ascii="Times New Roman" w:hAnsi="Times New Roman" w:cs="Times New Roman"/>
        </w:rPr>
        <w:t>normal</w:t>
      </w:r>
      <w:r w:rsidR="0093664C" w:rsidRPr="001655AC">
        <w:rPr>
          <w:rFonts w:ascii="Times New Roman" w:hAnsi="Times New Roman" w:cs="Times New Roman"/>
        </w:rPr>
        <w:t>’</w:t>
      </w:r>
      <w:r w:rsidR="00FA2612">
        <w:rPr>
          <w:rStyle w:val="FootnoteReference"/>
          <w:rFonts w:ascii="Times New Roman" w:hAnsi="Times New Roman" w:cs="Times New Roman"/>
        </w:rPr>
        <w:footnoteReference w:id="1"/>
      </w:r>
      <w:r w:rsidR="00D005C5" w:rsidRPr="001655AC">
        <w:rPr>
          <w:rFonts w:ascii="Times New Roman" w:hAnsi="Times New Roman" w:cs="Times New Roman"/>
        </w:rPr>
        <w:t xml:space="preserve"> in </w:t>
      </w:r>
      <w:r w:rsidR="001655AC" w:rsidRPr="001655AC">
        <w:rPr>
          <w:rFonts w:ascii="Times New Roman" w:hAnsi="Times New Roman" w:cs="Times New Roman"/>
        </w:rPr>
        <w:t>April</w:t>
      </w:r>
      <w:r w:rsidR="00D005C5" w:rsidRPr="001655AC">
        <w:rPr>
          <w:rFonts w:ascii="Times New Roman" w:hAnsi="Times New Roman" w:cs="Times New Roman"/>
        </w:rPr>
        <w:t xml:space="preserve"> 201</w:t>
      </w:r>
      <w:r w:rsidR="004B0842" w:rsidRPr="001655AC">
        <w:rPr>
          <w:rFonts w:ascii="Times New Roman" w:hAnsi="Times New Roman" w:cs="Times New Roman"/>
        </w:rPr>
        <w:t>8</w:t>
      </w:r>
      <w:r w:rsidR="00AA63A1" w:rsidRPr="001655AC">
        <w:rPr>
          <w:rFonts w:ascii="Times New Roman" w:hAnsi="Times New Roman" w:cs="Times New Roman"/>
        </w:rPr>
        <w:t xml:space="preserve"> (Chart </w:t>
      </w:r>
      <w:r w:rsidR="0031287C" w:rsidRPr="001655AC">
        <w:rPr>
          <w:rFonts w:ascii="Times New Roman" w:hAnsi="Times New Roman" w:cs="Times New Roman"/>
        </w:rPr>
        <w:t>4</w:t>
      </w:r>
      <w:r w:rsidR="00AA63A1" w:rsidRPr="001655AC">
        <w:rPr>
          <w:rFonts w:ascii="Times New Roman" w:hAnsi="Times New Roman" w:cs="Times New Roman"/>
        </w:rPr>
        <w:t>).</w:t>
      </w:r>
      <w:r w:rsidR="003B4A6B" w:rsidRPr="001655AC">
        <w:rPr>
          <w:rFonts w:ascii="Times New Roman" w:hAnsi="Times New Roman" w:cs="Times New Roman"/>
        </w:rPr>
        <w:t xml:space="preserve"> Th</w:t>
      </w:r>
      <w:r w:rsidR="00D005C5" w:rsidRPr="001655AC">
        <w:rPr>
          <w:rFonts w:ascii="Times New Roman" w:hAnsi="Times New Roman" w:cs="Times New Roman"/>
        </w:rPr>
        <w:t>is</w:t>
      </w:r>
      <w:r w:rsidR="003B4A6B" w:rsidRPr="001655AC">
        <w:rPr>
          <w:rFonts w:ascii="Times New Roman" w:hAnsi="Times New Roman" w:cs="Times New Roman"/>
        </w:rPr>
        <w:t xml:space="preserve"> proportion</w:t>
      </w:r>
      <w:r w:rsidR="00407044" w:rsidRPr="001655AC">
        <w:rPr>
          <w:rFonts w:ascii="Times New Roman" w:hAnsi="Times New Roman" w:cs="Times New Roman"/>
        </w:rPr>
        <w:t xml:space="preserve"> </w:t>
      </w:r>
      <w:r w:rsidR="003B4A6B" w:rsidRPr="001655AC">
        <w:rPr>
          <w:rFonts w:ascii="Times New Roman" w:hAnsi="Times New Roman" w:cs="Times New Roman"/>
        </w:rPr>
        <w:t>has</w:t>
      </w:r>
      <w:r w:rsidR="00D005C5" w:rsidRPr="001655AC">
        <w:rPr>
          <w:rFonts w:ascii="Times New Roman" w:hAnsi="Times New Roman" w:cs="Times New Roman"/>
        </w:rPr>
        <w:t xml:space="preserve"> </w:t>
      </w:r>
      <w:r w:rsidR="001655AC" w:rsidRPr="001655AC">
        <w:rPr>
          <w:rFonts w:ascii="Times New Roman" w:hAnsi="Times New Roman" w:cs="Times New Roman"/>
        </w:rPr>
        <w:t>increased in April 2018.</w:t>
      </w:r>
      <w:r w:rsidR="002E5927">
        <w:rPr>
          <w:rFonts w:ascii="Times New Roman" w:hAnsi="Times New Roman" w:cs="Times New Roman"/>
        </w:rPr>
        <w:t xml:space="preserve"> </w:t>
      </w:r>
    </w:p>
    <w:p w14:paraId="052E492C" w14:textId="30E17584" w:rsidR="00AA63A1" w:rsidRPr="001655AC" w:rsidRDefault="003B4A6B" w:rsidP="001655AC">
      <w:pPr>
        <w:pStyle w:val="ListParagraph"/>
        <w:spacing w:after="0" w:line="240" w:lineRule="auto"/>
        <w:jc w:val="both"/>
        <w:rPr>
          <w:rFonts w:ascii="Times New Roman" w:hAnsi="Times New Roman" w:cs="Times New Roman"/>
          <w:b/>
        </w:rPr>
      </w:pPr>
      <w:r w:rsidRPr="001655AC">
        <w:rPr>
          <w:rFonts w:ascii="Times New Roman" w:hAnsi="Times New Roman" w:cs="Times New Roman"/>
        </w:rPr>
        <w:lastRenderedPageBreak/>
        <w:t xml:space="preserve"> </w:t>
      </w:r>
    </w:p>
    <w:p w14:paraId="47280FC0" w14:textId="48A5A27B"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31287C">
        <w:rPr>
          <w:rFonts w:ascii="Times New Roman" w:hAnsi="Times New Roman" w:cs="Times New Roman"/>
          <w:b/>
          <w:bCs/>
          <w:lang w:val="en-US"/>
        </w:rPr>
        <w:t>4</w:t>
      </w:r>
      <w:r w:rsidRPr="001D09C4">
        <w:rPr>
          <w:rFonts w:ascii="Times New Roman" w:hAnsi="Times New Roman" w:cs="Times New Roman"/>
          <w:b/>
          <w:bCs/>
          <w:lang w:val="en-US"/>
        </w:rPr>
        <w:t>: Sales Levels - % response</w:t>
      </w:r>
    </w:p>
    <w:p w14:paraId="1A540DC9" w14:textId="77777777" w:rsidR="00413AF7" w:rsidRDefault="00413AF7" w:rsidP="00AA63A1">
      <w:pPr>
        <w:spacing w:after="0" w:line="240" w:lineRule="auto"/>
        <w:jc w:val="center"/>
        <w:rPr>
          <w:rFonts w:ascii="Times New Roman" w:hAnsi="Times New Roman" w:cs="Times New Roman"/>
          <w:b/>
          <w:bCs/>
          <w:lang w:val="en-US"/>
        </w:rPr>
      </w:pPr>
    </w:p>
    <w:p w14:paraId="6003B148" w14:textId="228BDD7F" w:rsidR="005866CC" w:rsidRDefault="0031287C" w:rsidP="00AA63A1">
      <w:pPr>
        <w:spacing w:after="0" w:line="240" w:lineRule="auto"/>
        <w:jc w:val="center"/>
        <w:rPr>
          <w:noProof/>
          <w:lang w:val="en-US"/>
        </w:rPr>
      </w:pPr>
      <w:r>
        <w:rPr>
          <w:noProof/>
          <w:lang w:val="en-US"/>
        </w:rPr>
        <w:drawing>
          <wp:inline distT="0" distB="0" distL="0" distR="0" wp14:anchorId="6ABD1A44" wp14:editId="0A80F1E9">
            <wp:extent cx="5108713" cy="2246244"/>
            <wp:effectExtent l="0" t="0" r="15875" b="209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BF5486" w14:textId="77777777" w:rsidR="0031287C" w:rsidRDefault="0031287C" w:rsidP="00AA63A1">
      <w:pPr>
        <w:spacing w:after="0" w:line="240" w:lineRule="auto"/>
        <w:jc w:val="center"/>
        <w:rPr>
          <w:rFonts w:ascii="Times New Roman" w:hAnsi="Times New Roman" w:cs="Times New Roman"/>
          <w:b/>
          <w:bCs/>
          <w:lang w:val="en-U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02A0BF67" w14:textId="03CBA389" w:rsidR="00A93D2E" w:rsidRDefault="001D09C4" w:rsidP="00A93D2E">
      <w:pPr>
        <w:pStyle w:val="ListParagraph"/>
        <w:numPr>
          <w:ilvl w:val="0"/>
          <w:numId w:val="8"/>
        </w:numPr>
        <w:spacing w:after="0" w:line="240" w:lineRule="auto"/>
        <w:jc w:val="both"/>
        <w:rPr>
          <w:rFonts w:ascii="Times New Roman" w:hAnsi="Times New Roman" w:cs="Times New Roman"/>
        </w:rPr>
      </w:pPr>
      <w:r w:rsidRPr="00E33FBC">
        <w:rPr>
          <w:rFonts w:ascii="Times New Roman" w:hAnsi="Times New Roman" w:cs="Times New Roman"/>
        </w:rPr>
        <w:t xml:space="preserve">Responses of </w:t>
      </w:r>
      <w:r w:rsidR="00436CA1" w:rsidRPr="00E33FBC">
        <w:rPr>
          <w:rFonts w:ascii="Times New Roman" w:hAnsi="Times New Roman" w:cs="Times New Roman"/>
        </w:rPr>
        <w:t>4</w:t>
      </w:r>
      <w:r w:rsidR="00F66519">
        <w:rPr>
          <w:rFonts w:ascii="Times New Roman" w:hAnsi="Times New Roman" w:cs="Times New Roman"/>
        </w:rPr>
        <w:t>1</w:t>
      </w:r>
      <w:r w:rsidR="0064464F" w:rsidRPr="00E33FBC">
        <w:rPr>
          <w:rFonts w:ascii="Times New Roman" w:hAnsi="Times New Roman" w:cs="Times New Roman"/>
        </w:rPr>
        <w:t>%</w:t>
      </w:r>
      <w:r w:rsidR="003705BC" w:rsidRPr="00E33FBC">
        <w:rPr>
          <w:rFonts w:ascii="Times New Roman" w:hAnsi="Times New Roman" w:cs="Times New Roman"/>
        </w:rPr>
        <w:t xml:space="preserve"> of the firms</w:t>
      </w:r>
      <w:r w:rsidRPr="00E33FBC">
        <w:rPr>
          <w:rFonts w:ascii="Times New Roman" w:hAnsi="Times New Roman" w:cs="Times New Roman"/>
        </w:rPr>
        <w:t xml:space="preserve"> in the sample </w:t>
      </w:r>
      <w:r w:rsidR="00E6236E" w:rsidRPr="00E33FBC">
        <w:rPr>
          <w:rFonts w:ascii="Times New Roman" w:hAnsi="Times New Roman" w:cs="Times New Roman"/>
        </w:rPr>
        <w:t xml:space="preserve">in </w:t>
      </w:r>
      <w:r w:rsidR="00F66519">
        <w:rPr>
          <w:rFonts w:ascii="Times New Roman" w:hAnsi="Times New Roman" w:cs="Times New Roman"/>
        </w:rPr>
        <w:t>April</w:t>
      </w:r>
      <w:r w:rsidR="003705BC" w:rsidRPr="00E33FBC">
        <w:rPr>
          <w:rFonts w:ascii="Times New Roman" w:hAnsi="Times New Roman" w:cs="Times New Roman"/>
        </w:rPr>
        <w:t xml:space="preserve"> 201</w:t>
      </w:r>
      <w:r w:rsidR="00A93D2E" w:rsidRPr="00E33FBC">
        <w:rPr>
          <w:rFonts w:ascii="Times New Roman" w:hAnsi="Times New Roman" w:cs="Times New Roman"/>
        </w:rPr>
        <w:t>8</w:t>
      </w:r>
      <w:r w:rsidR="003705BC" w:rsidRPr="00E33FBC">
        <w:rPr>
          <w:rFonts w:ascii="Times New Roman" w:hAnsi="Times New Roman" w:cs="Times New Roman"/>
        </w:rPr>
        <w:t xml:space="preserve"> </w:t>
      </w:r>
      <w:r w:rsidRPr="00E33FBC">
        <w:rPr>
          <w:rFonts w:ascii="Times New Roman" w:hAnsi="Times New Roman" w:cs="Times New Roman"/>
        </w:rPr>
        <w:t xml:space="preserve">indicate </w:t>
      </w:r>
      <w:r w:rsidR="0093664C" w:rsidRPr="00E33FBC">
        <w:rPr>
          <w:rFonts w:ascii="Times New Roman" w:hAnsi="Times New Roman" w:cs="Times New Roman"/>
        </w:rPr>
        <w:t>‘</w:t>
      </w:r>
      <w:r w:rsidRPr="00E33FBC">
        <w:rPr>
          <w:rFonts w:ascii="Times New Roman" w:hAnsi="Times New Roman" w:cs="Times New Roman"/>
        </w:rPr>
        <w:t>much less than normal</w:t>
      </w:r>
      <w:r w:rsidR="0093664C" w:rsidRPr="00E33FBC">
        <w:rPr>
          <w:rFonts w:ascii="Times New Roman" w:hAnsi="Times New Roman" w:cs="Times New Roman"/>
        </w:rPr>
        <w:t>’</w:t>
      </w:r>
      <w:r w:rsidR="006D5BA6" w:rsidRPr="007C106F">
        <w:rPr>
          <w:rFonts w:ascii="Times New Roman" w:hAnsi="Times New Roman" w:cs="Times New Roman"/>
          <w:vertAlign w:val="superscript"/>
        </w:rPr>
        <w:t>2</w:t>
      </w:r>
      <w:r w:rsidR="006D5BA6">
        <w:rPr>
          <w:rFonts w:ascii="Times New Roman" w:hAnsi="Times New Roman" w:cs="Times New Roman"/>
        </w:rPr>
        <w:t xml:space="preserve"> </w:t>
      </w:r>
      <w:r w:rsidRPr="00E33FBC">
        <w:rPr>
          <w:rFonts w:ascii="Times New Roman" w:hAnsi="Times New Roman" w:cs="Times New Roman"/>
        </w:rPr>
        <w:t>profit margin</w:t>
      </w:r>
      <w:r w:rsidR="00F66519">
        <w:rPr>
          <w:rFonts w:ascii="Times New Roman" w:hAnsi="Times New Roman" w:cs="Times New Roman"/>
        </w:rPr>
        <w:t>, down from March 2018 level. Also proportion of firms repo</w:t>
      </w:r>
      <w:r w:rsidR="00BF61A4">
        <w:rPr>
          <w:rFonts w:ascii="Times New Roman" w:hAnsi="Times New Roman" w:cs="Times New Roman"/>
        </w:rPr>
        <w:t>rting</w:t>
      </w:r>
      <w:r w:rsidR="00976C79">
        <w:rPr>
          <w:rFonts w:ascii="Times New Roman" w:hAnsi="Times New Roman" w:cs="Times New Roman"/>
        </w:rPr>
        <w:t xml:space="preserve"> </w:t>
      </w:r>
      <w:r w:rsidR="00F66519">
        <w:rPr>
          <w:rFonts w:ascii="Times New Roman" w:hAnsi="Times New Roman" w:cs="Times New Roman"/>
        </w:rPr>
        <w:t>‘normal or above normal’</w:t>
      </w:r>
      <w:r w:rsidR="00BF61A4">
        <w:rPr>
          <w:rFonts w:ascii="Times New Roman" w:hAnsi="Times New Roman" w:cs="Times New Roman"/>
        </w:rPr>
        <w:t xml:space="preserve"> profit has gone up to 35% in April 2018 </w:t>
      </w:r>
      <w:r w:rsidRPr="00E33FBC">
        <w:rPr>
          <w:rFonts w:ascii="Times New Roman" w:hAnsi="Times New Roman" w:cs="Times New Roman"/>
        </w:rPr>
        <w:t xml:space="preserve">(Chart </w:t>
      </w:r>
      <w:r w:rsidR="00F66519">
        <w:rPr>
          <w:rFonts w:ascii="Times New Roman" w:hAnsi="Times New Roman" w:cs="Times New Roman"/>
        </w:rPr>
        <w:t>5</w:t>
      </w:r>
      <w:r w:rsidRPr="00E33FBC">
        <w:rPr>
          <w:rFonts w:ascii="Times New Roman" w:hAnsi="Times New Roman" w:cs="Times New Roman"/>
        </w:rPr>
        <w:t>).</w:t>
      </w:r>
      <w:r w:rsidR="00E6236E" w:rsidRPr="00E33FBC">
        <w:rPr>
          <w:rFonts w:ascii="Times New Roman" w:hAnsi="Times New Roman" w:cs="Times New Roman"/>
        </w:rPr>
        <w:t xml:space="preserve"> </w:t>
      </w:r>
    </w:p>
    <w:p w14:paraId="2184556E" w14:textId="77777777" w:rsidR="00E33FBC" w:rsidRPr="00E33FBC" w:rsidRDefault="00E33FBC" w:rsidP="00E33FBC">
      <w:pPr>
        <w:pStyle w:val="ListParagraph"/>
        <w:spacing w:after="0" w:line="240" w:lineRule="auto"/>
        <w:jc w:val="both"/>
        <w:rPr>
          <w:rFonts w:ascii="Times New Roman" w:hAnsi="Times New Roman" w:cs="Times New Roman"/>
        </w:rPr>
      </w:pPr>
    </w:p>
    <w:p w14:paraId="049FE725" w14:textId="5DE7CEDA" w:rsidR="00A93D2E" w:rsidRDefault="00322887" w:rsidP="00BF61A4">
      <w:pPr>
        <w:pStyle w:val="ListParagraph"/>
        <w:numPr>
          <w:ilvl w:val="0"/>
          <w:numId w:val="8"/>
        </w:numPr>
        <w:spacing w:after="0" w:line="240" w:lineRule="auto"/>
        <w:jc w:val="both"/>
        <w:rPr>
          <w:rFonts w:ascii="Times New Roman" w:hAnsi="Times New Roman" w:cs="Times New Roman"/>
        </w:rPr>
      </w:pPr>
      <w:r w:rsidRPr="00322887">
        <w:rPr>
          <w:rFonts w:ascii="Times New Roman" w:hAnsi="Times New Roman" w:cs="Times New Roman"/>
        </w:rPr>
        <w:t>Over</w:t>
      </w:r>
      <w:r w:rsidR="00BF61A4">
        <w:rPr>
          <w:rFonts w:ascii="Times New Roman" w:hAnsi="Times New Roman" w:cs="Times New Roman"/>
        </w:rPr>
        <w:t xml:space="preserve">all perception </w:t>
      </w:r>
      <w:r w:rsidR="001655AC">
        <w:rPr>
          <w:rFonts w:ascii="Times New Roman" w:hAnsi="Times New Roman" w:cs="Times New Roman"/>
        </w:rPr>
        <w:t xml:space="preserve">of firms </w:t>
      </w:r>
      <w:r w:rsidR="00BF61A4">
        <w:rPr>
          <w:rFonts w:ascii="Times New Roman" w:hAnsi="Times New Roman" w:cs="Times New Roman"/>
        </w:rPr>
        <w:t xml:space="preserve">shows that there are signs of improved profit margins in April 2018. </w:t>
      </w:r>
    </w:p>
    <w:p w14:paraId="11DC962C" w14:textId="77777777" w:rsidR="00BF61A4" w:rsidRDefault="00BF61A4" w:rsidP="00273D5F">
      <w:pPr>
        <w:spacing w:after="0" w:line="240" w:lineRule="auto"/>
        <w:ind w:left="360"/>
        <w:jc w:val="center"/>
        <w:rPr>
          <w:rFonts w:ascii="Times New Roman" w:hAnsi="Times New Roman" w:cs="Times New Roman"/>
          <w:b/>
          <w:bCs/>
          <w:lang w:val="en-US" w:bidi="hi-IN"/>
        </w:rPr>
      </w:pPr>
    </w:p>
    <w:p w14:paraId="2376A4BA" w14:textId="0DB40279"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E203F6">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6273DC70" w14:textId="77777777" w:rsidR="00BF61A4" w:rsidRDefault="00BF61A4" w:rsidP="00273D5F">
      <w:pPr>
        <w:spacing w:after="0" w:line="240" w:lineRule="auto"/>
        <w:ind w:left="360"/>
        <w:jc w:val="center"/>
        <w:rPr>
          <w:rFonts w:ascii="Times New Roman" w:hAnsi="Times New Roman" w:cs="Times New Roman"/>
          <w:b/>
          <w:bCs/>
          <w:lang w:val="en-US" w:bidi="hi-IN"/>
        </w:rPr>
      </w:pPr>
    </w:p>
    <w:p w14:paraId="5A700592" w14:textId="2BF651A7" w:rsidR="00273D5F" w:rsidRDefault="00F66519" w:rsidP="00FC49EB">
      <w:pPr>
        <w:ind w:left="360"/>
        <w:jc w:val="center"/>
        <w:rPr>
          <w:rFonts w:ascii="Times New Roman" w:hAnsi="Times New Roman" w:cs="Times New Roman"/>
          <w:b/>
          <w:bCs/>
          <w:lang w:val="en-US" w:bidi="hi-IN"/>
        </w:rPr>
      </w:pPr>
      <w:r>
        <w:rPr>
          <w:noProof/>
          <w:lang w:val="en-US"/>
        </w:rPr>
        <w:drawing>
          <wp:inline distT="0" distB="0" distL="0" distR="0" wp14:anchorId="23A74AD0" wp14:editId="20F009F4">
            <wp:extent cx="5575852" cy="2226365"/>
            <wp:effectExtent l="0" t="0" r="25400" b="215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3E2701" w14:textId="35B729F7" w:rsidR="00576944" w:rsidRDefault="006D5BA6" w:rsidP="006D5BA6">
      <w:pPr>
        <w:spacing w:after="0" w:line="240" w:lineRule="auto"/>
        <w:rPr>
          <w:rFonts w:ascii="Times New Roman" w:hAnsi="Times New Roman" w:cs="Times New Roman"/>
          <w:iCs/>
          <w:sz w:val="20"/>
          <w:szCs w:val="20"/>
        </w:rPr>
      </w:pPr>
      <w:r w:rsidRPr="007C106F">
        <w:rPr>
          <w:rFonts w:ascii="Times New Roman" w:hAnsi="Times New Roman" w:cs="Times New Roman"/>
          <w:iCs/>
          <w:sz w:val="20"/>
          <w:szCs w:val="20"/>
          <w:vertAlign w:val="superscript"/>
        </w:rPr>
        <w:t>2</w:t>
      </w:r>
      <w:r w:rsidRPr="00727F1A">
        <w:rPr>
          <w:rFonts w:ascii="Times New Roman" w:hAnsi="Times New Roman" w:cs="Times New Roman"/>
          <w:iCs/>
          <w:sz w:val="20"/>
          <w:szCs w:val="20"/>
        </w:rPr>
        <w:t>"Normal" means as compared to the average level obtained in the preceding 3 years.</w:t>
      </w:r>
    </w:p>
    <w:p w14:paraId="1D12325C" w14:textId="77777777" w:rsidR="006D5BA6" w:rsidRDefault="006D5BA6" w:rsidP="006D5BA6">
      <w:pPr>
        <w:spacing w:after="0" w:line="240" w:lineRule="auto"/>
        <w:rPr>
          <w:rFonts w:ascii="Times New Roman" w:hAnsi="Times New Roman" w:cs="Times New Roman"/>
          <w:b/>
          <w:bCs/>
          <w:lang w:val="en-US" w:bidi="hi-IN"/>
        </w:rPr>
      </w:pPr>
    </w:p>
    <w:p w14:paraId="4ED1BC46" w14:textId="4E4CBF9E" w:rsidR="006D5BA6" w:rsidRPr="007C106F" w:rsidRDefault="007C106F" w:rsidP="007C106F">
      <w:pPr>
        <w:pStyle w:val="ListParagraph"/>
        <w:numPr>
          <w:ilvl w:val="0"/>
          <w:numId w:val="12"/>
        </w:numPr>
        <w:spacing w:after="0" w:line="240" w:lineRule="auto"/>
        <w:rPr>
          <w:rFonts w:ascii="Times New Roman" w:hAnsi="Times New Roman" w:cs="Times New Roman"/>
          <w:b/>
          <w:sz w:val="28"/>
          <w:szCs w:val="28"/>
        </w:rPr>
      </w:pPr>
      <w:r>
        <w:rPr>
          <w:rFonts w:ascii="Times New Roman" w:hAnsi="Times New Roman" w:cs="Times New Roman"/>
          <w:b/>
          <w:sz w:val="28"/>
          <w:szCs w:val="28"/>
        </w:rPr>
        <w:t>The End -</w:t>
      </w:r>
      <w:bookmarkStart w:id="0" w:name="_GoBack"/>
      <w:bookmarkEnd w:id="0"/>
    </w:p>
    <w:p w14:paraId="5F30B793" w14:textId="77777777" w:rsidR="006D5BA6" w:rsidRDefault="006D5BA6" w:rsidP="00576944">
      <w:pPr>
        <w:spacing w:after="0" w:line="240" w:lineRule="auto"/>
        <w:jc w:val="center"/>
        <w:rPr>
          <w:rFonts w:ascii="Times New Roman" w:hAnsi="Times New Roman" w:cs="Times New Roman"/>
          <w:b/>
          <w:sz w:val="28"/>
          <w:szCs w:val="28"/>
        </w:rPr>
      </w:pPr>
    </w:p>
    <w:p w14:paraId="6AFF5CB0" w14:textId="77777777" w:rsidR="006D5BA6" w:rsidRDefault="006D5BA6" w:rsidP="00576944">
      <w:pPr>
        <w:spacing w:after="0" w:line="240" w:lineRule="auto"/>
        <w:jc w:val="center"/>
        <w:rPr>
          <w:rFonts w:ascii="Times New Roman" w:hAnsi="Times New Roman" w:cs="Times New Roman"/>
          <w:b/>
          <w:sz w:val="28"/>
          <w:szCs w:val="28"/>
        </w:rPr>
      </w:pPr>
    </w:p>
    <w:p w14:paraId="6193C76B" w14:textId="77777777" w:rsidR="006D5BA6" w:rsidRDefault="006D5BA6" w:rsidP="00576944">
      <w:pPr>
        <w:spacing w:after="0" w:line="240" w:lineRule="auto"/>
        <w:jc w:val="center"/>
        <w:rPr>
          <w:rFonts w:ascii="Times New Roman" w:hAnsi="Times New Roman" w:cs="Times New Roman"/>
          <w:b/>
          <w:sz w:val="28"/>
          <w:szCs w:val="28"/>
        </w:rPr>
      </w:pPr>
    </w:p>
    <w:p w14:paraId="7D563AE5" w14:textId="77777777" w:rsidR="006D5BA6" w:rsidRDefault="006D5BA6" w:rsidP="00576944">
      <w:pPr>
        <w:spacing w:after="0" w:line="240" w:lineRule="auto"/>
        <w:jc w:val="center"/>
        <w:rPr>
          <w:rFonts w:ascii="Times New Roman" w:hAnsi="Times New Roman" w:cs="Times New Roman"/>
          <w:b/>
          <w:sz w:val="28"/>
          <w:szCs w:val="28"/>
        </w:rPr>
      </w:pPr>
    </w:p>
    <w:p w14:paraId="701E5A06" w14:textId="77777777" w:rsidR="006D5BA6" w:rsidRDefault="006D5BA6" w:rsidP="00576944">
      <w:pPr>
        <w:spacing w:after="0" w:line="240" w:lineRule="auto"/>
        <w:jc w:val="center"/>
        <w:rPr>
          <w:rFonts w:ascii="Times New Roman" w:hAnsi="Times New Roman" w:cs="Times New Roman"/>
          <w:b/>
          <w:sz w:val="28"/>
          <w:szCs w:val="28"/>
        </w:rPr>
      </w:pPr>
    </w:p>
    <w:p w14:paraId="57709B87" w14:textId="77777777" w:rsidR="006D5BA6" w:rsidRDefault="006D5BA6" w:rsidP="00576944">
      <w:pPr>
        <w:spacing w:after="0" w:line="240" w:lineRule="auto"/>
        <w:jc w:val="center"/>
        <w:rPr>
          <w:rFonts w:ascii="Times New Roman" w:hAnsi="Times New Roman" w:cs="Times New Roman"/>
          <w:b/>
          <w:sz w:val="28"/>
          <w:szCs w:val="28"/>
        </w:rPr>
      </w:pPr>
    </w:p>
    <w:p w14:paraId="160B73EB" w14:textId="77777777" w:rsidR="006D5BA6" w:rsidRDefault="006D5BA6" w:rsidP="00576944">
      <w:pPr>
        <w:spacing w:after="0" w:line="240" w:lineRule="auto"/>
        <w:jc w:val="center"/>
        <w:rPr>
          <w:rFonts w:ascii="Times New Roman" w:hAnsi="Times New Roman" w:cs="Times New Roman"/>
          <w:b/>
          <w:sz w:val="28"/>
          <w:szCs w:val="28"/>
        </w:rPr>
      </w:pPr>
    </w:p>
    <w:p w14:paraId="506ACB19" w14:textId="77777777" w:rsidR="006D5BA6" w:rsidRDefault="006D5BA6" w:rsidP="00576944">
      <w:pPr>
        <w:spacing w:after="0" w:line="240" w:lineRule="auto"/>
        <w:jc w:val="center"/>
        <w:rPr>
          <w:rFonts w:ascii="Times New Roman" w:hAnsi="Times New Roman" w:cs="Times New Roman"/>
          <w:b/>
          <w:sz w:val="28"/>
          <w:szCs w:val="28"/>
        </w:rPr>
      </w:pPr>
    </w:p>
    <w:p w14:paraId="2BFE57EC" w14:textId="77777777" w:rsidR="006D5BA6" w:rsidRDefault="006D5BA6" w:rsidP="00576944">
      <w:pPr>
        <w:spacing w:after="0" w:line="240" w:lineRule="auto"/>
        <w:jc w:val="center"/>
        <w:rPr>
          <w:rFonts w:ascii="Times New Roman" w:hAnsi="Times New Roman" w:cs="Times New Roman"/>
          <w:b/>
          <w:sz w:val="28"/>
          <w:szCs w:val="28"/>
        </w:rPr>
      </w:pPr>
    </w:p>
    <w:p w14:paraId="3C0EC55A" w14:textId="61BEBBF9" w:rsidR="009F5421" w:rsidRDefault="009F5421" w:rsidP="00576944">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576944">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576944">
            <w:pPr>
              <w:pStyle w:val="NormalWeb"/>
              <w:spacing w:before="0" w:beforeAutospacing="0" w:after="0" w:afterAutospacing="0"/>
              <w:rPr>
                <w:b/>
                <w:bCs/>
                <w:sz w:val="22"/>
                <w:szCs w:val="22"/>
              </w:rPr>
            </w:pPr>
            <w:r w:rsidRPr="009F5421">
              <w:rPr>
                <w:b/>
                <w:bCs/>
                <w:sz w:val="22"/>
                <w:szCs w:val="22"/>
              </w:rPr>
              <w:t>A. Current Business Conditions</w:t>
            </w:r>
          </w:p>
          <w:p w14:paraId="3CF0E096" w14:textId="77777777" w:rsidR="009F5421" w:rsidRPr="009F5421" w:rsidRDefault="009F5421" w:rsidP="00576944">
            <w:pPr>
              <w:pStyle w:val="NormalWeb"/>
              <w:spacing w:before="0" w:beforeAutospacing="0" w:after="0" w:afterAutospacing="0"/>
              <w:rPr>
                <w:sz w:val="22"/>
                <w:szCs w:val="22"/>
              </w:rPr>
            </w:pPr>
          </w:p>
          <w:p w14:paraId="7FE4ADA9" w14:textId="046B529E" w:rsidR="009F5421" w:rsidRPr="009F5421" w:rsidRDefault="009F5421" w:rsidP="00576944">
            <w:pPr>
              <w:pStyle w:val="ListParagraph"/>
              <w:ind w:left="0"/>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w:t>
            </w:r>
          </w:p>
          <w:p w14:paraId="02E71E11" w14:textId="77777777" w:rsidR="009F5421" w:rsidRPr="009F5421" w:rsidRDefault="009F5421" w:rsidP="00576944">
            <w:pPr>
              <w:pStyle w:val="ListParagraph"/>
              <w:numPr>
                <w:ilvl w:val="0"/>
                <w:numId w:val="4"/>
              </w:numPr>
              <w:spacing w:after="0" w:line="240" w:lineRule="auto"/>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576944">
            <w:pPr>
              <w:pStyle w:val="ListParagraph"/>
              <w:numPr>
                <w:ilvl w:val="0"/>
                <w:numId w:val="4"/>
              </w:numPr>
              <w:spacing w:after="0" w:line="240" w:lineRule="auto"/>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576944">
            <w:pPr>
              <w:pStyle w:val="ListParagraph"/>
              <w:numPr>
                <w:ilvl w:val="0"/>
                <w:numId w:val="4"/>
              </w:numPr>
              <w:spacing w:after="0" w:line="240" w:lineRule="auto"/>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576944">
            <w:pPr>
              <w:pStyle w:val="ListParagraph"/>
              <w:numPr>
                <w:ilvl w:val="0"/>
                <w:numId w:val="4"/>
              </w:numPr>
              <w:spacing w:after="0" w:line="240" w:lineRule="auto"/>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576944">
            <w:pPr>
              <w:pStyle w:val="ListParagraph"/>
              <w:numPr>
                <w:ilvl w:val="0"/>
                <w:numId w:val="4"/>
              </w:numPr>
              <w:spacing w:after="0" w:line="240" w:lineRule="auto"/>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576944">
            <w:pPr>
              <w:pStyle w:val="NormalWeb"/>
              <w:spacing w:before="0" w:beforeAutospacing="0" w:after="0" w:afterAutospacing="0"/>
              <w:rPr>
                <w:sz w:val="22"/>
                <w:szCs w:val="22"/>
              </w:rPr>
            </w:pPr>
          </w:p>
          <w:p w14:paraId="48E34079" w14:textId="77777777" w:rsidR="009F5421" w:rsidRPr="009F5421" w:rsidRDefault="009F5421" w:rsidP="00576944">
            <w:pPr>
              <w:pStyle w:val="NormalWeb"/>
              <w:spacing w:before="0" w:beforeAutospacing="0" w:after="0" w:afterAutospacing="0"/>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244D379D" w:rsidR="009F5421" w:rsidRPr="009F5421" w:rsidRDefault="009F5421" w:rsidP="00576944">
            <w:pPr>
              <w:pStyle w:val="NormalWeb"/>
              <w:numPr>
                <w:ilvl w:val="0"/>
                <w:numId w:val="3"/>
              </w:numPr>
              <w:spacing w:before="0" w:beforeAutospacing="0" w:after="0" w:afterAutospacing="0"/>
              <w:rPr>
                <w:sz w:val="22"/>
                <w:szCs w:val="22"/>
              </w:rPr>
            </w:pPr>
            <w:r w:rsidRPr="009F5421">
              <w:rPr>
                <w:sz w:val="22"/>
                <w:szCs w:val="22"/>
              </w:rPr>
              <w:t>Much less than normal</w:t>
            </w:r>
          </w:p>
          <w:p w14:paraId="4D92C758" w14:textId="415B4F10" w:rsidR="009F5421" w:rsidRPr="009F5421" w:rsidRDefault="009F5421" w:rsidP="00576944">
            <w:pPr>
              <w:pStyle w:val="NormalWeb"/>
              <w:numPr>
                <w:ilvl w:val="0"/>
                <w:numId w:val="3"/>
              </w:numPr>
              <w:spacing w:before="0" w:beforeAutospacing="0" w:after="0" w:afterAutospacing="0"/>
              <w:rPr>
                <w:sz w:val="22"/>
                <w:szCs w:val="22"/>
              </w:rPr>
            </w:pPr>
            <w:r w:rsidRPr="009F5421">
              <w:rPr>
                <w:sz w:val="22"/>
                <w:szCs w:val="22"/>
              </w:rPr>
              <w:t>Somewhat less than normal</w:t>
            </w:r>
          </w:p>
          <w:p w14:paraId="12F6576F" w14:textId="66F4E829" w:rsidR="009F5421" w:rsidRPr="009F5421" w:rsidRDefault="009F5421" w:rsidP="00576944">
            <w:pPr>
              <w:pStyle w:val="NormalWeb"/>
              <w:numPr>
                <w:ilvl w:val="0"/>
                <w:numId w:val="3"/>
              </w:numPr>
              <w:spacing w:before="0" w:beforeAutospacing="0" w:after="0" w:afterAutospacing="0"/>
              <w:rPr>
                <w:sz w:val="22"/>
                <w:szCs w:val="22"/>
              </w:rPr>
            </w:pPr>
            <w:r w:rsidRPr="009F5421">
              <w:rPr>
                <w:sz w:val="22"/>
                <w:szCs w:val="22"/>
              </w:rPr>
              <w:t>About normal</w:t>
            </w:r>
          </w:p>
          <w:p w14:paraId="0F84F659" w14:textId="5C7B5472" w:rsidR="009F5421" w:rsidRPr="009F5421" w:rsidRDefault="009F5421" w:rsidP="00576944">
            <w:pPr>
              <w:pStyle w:val="NormalWeb"/>
              <w:numPr>
                <w:ilvl w:val="0"/>
                <w:numId w:val="3"/>
              </w:numPr>
              <w:spacing w:before="0" w:beforeAutospacing="0" w:after="0" w:afterAutospacing="0"/>
              <w:rPr>
                <w:sz w:val="22"/>
                <w:szCs w:val="22"/>
              </w:rPr>
            </w:pPr>
            <w:r w:rsidRPr="009F5421">
              <w:rPr>
                <w:sz w:val="22"/>
                <w:szCs w:val="22"/>
              </w:rPr>
              <w:t>somewhat greater than normal</w:t>
            </w:r>
          </w:p>
          <w:p w14:paraId="7AEB7092" w14:textId="0263744E" w:rsidR="009F5421" w:rsidRDefault="009F5421" w:rsidP="00576944">
            <w:pPr>
              <w:pStyle w:val="NormalWeb"/>
              <w:numPr>
                <w:ilvl w:val="0"/>
                <w:numId w:val="3"/>
              </w:numPr>
              <w:spacing w:before="0" w:beforeAutospacing="0" w:after="0" w:afterAutospacing="0"/>
              <w:rPr>
                <w:sz w:val="22"/>
                <w:szCs w:val="22"/>
              </w:rPr>
            </w:pPr>
            <w:r w:rsidRPr="009F5421">
              <w:rPr>
                <w:sz w:val="22"/>
                <w:szCs w:val="22"/>
              </w:rPr>
              <w:t>Much greater than normal</w:t>
            </w:r>
          </w:p>
          <w:p w14:paraId="2FF5E03B" w14:textId="77777777" w:rsidR="002B2E73" w:rsidRPr="009F5421" w:rsidRDefault="002B2E73" w:rsidP="00576944">
            <w:pPr>
              <w:pStyle w:val="NormalWeb"/>
              <w:spacing w:before="0" w:beforeAutospacing="0" w:after="0" w:afterAutospacing="0"/>
              <w:ind w:left="1800"/>
              <w:rPr>
                <w:sz w:val="22"/>
                <w:szCs w:val="22"/>
              </w:rPr>
            </w:pPr>
          </w:p>
          <w:p w14:paraId="14A7EFFE" w14:textId="32981CC1" w:rsidR="002B2E73" w:rsidRDefault="002B2E73" w:rsidP="00576944">
            <w:pPr>
              <w:contextualSpacing/>
              <w:rPr>
                <w:rFonts w:ascii="Times New Roman" w:hAnsi="Times New Roman" w:cs="Times New Roman"/>
                <w:i/>
              </w:rPr>
            </w:pPr>
            <w:r w:rsidRPr="009F5421">
              <w:rPr>
                <w:rFonts w:ascii="Times New Roman" w:hAnsi="Times New Roman" w:cs="Times New Roman"/>
                <w:i/>
                <w:vertAlign w:val="superscript"/>
              </w:rPr>
              <w:t xml:space="preserve">@   </w:t>
            </w:r>
            <w:proofErr w:type="gramStart"/>
            <w:r w:rsidRPr="009F5421">
              <w:rPr>
                <w:rFonts w:ascii="Times New Roman" w:hAnsi="Times New Roman" w:cs="Times New Roman"/>
                <w:i/>
              </w:rPr>
              <w:t>of</w:t>
            </w:r>
            <w:proofErr w:type="gramEnd"/>
            <w:r w:rsidRPr="009F5421">
              <w:rPr>
                <w:rFonts w:ascii="Times New Roman" w:hAnsi="Times New Roman" w:cs="Times New Roman"/>
                <w:i/>
              </w:rPr>
              <w:t xml:space="preserve"> the main or most important product in terms of sales.</w:t>
            </w:r>
          </w:p>
          <w:p w14:paraId="08EC46B0" w14:textId="28DF2C01" w:rsidR="009F5421" w:rsidRPr="009F5421" w:rsidRDefault="009F5421" w:rsidP="00576944">
            <w:pPr>
              <w:contextualSpacing/>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576944">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576944">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3C71947A" w:rsidR="009F5421" w:rsidRPr="009F5421" w:rsidRDefault="009F5421" w:rsidP="00576944">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compare with this time last year?</w:t>
            </w:r>
          </w:p>
          <w:p w14:paraId="12C13634" w14:textId="77777777" w:rsidR="009F5421" w:rsidRPr="009F5421" w:rsidRDefault="009F5421" w:rsidP="00576944">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576944">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576944">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576944">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576944">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576944">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576944">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576944">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proofErr w:type="gramStart"/>
            <w:r w:rsidR="009F5421" w:rsidRPr="009F5421">
              <w:rPr>
                <w:rFonts w:ascii="Times New Roman" w:hAnsi="Times New Roman" w:cs="Times New Roman"/>
                <w:i/>
              </w:rPr>
              <w:t>of</w:t>
            </w:r>
            <w:proofErr w:type="gramEnd"/>
            <w:r w:rsidR="009F5421" w:rsidRPr="009F5421">
              <w:rPr>
                <w:rFonts w:ascii="Times New Roman" w:hAnsi="Times New Roman" w:cs="Times New Roman"/>
                <w:i/>
              </w:rPr>
              <w:t xml:space="preserve"> the main or most important product in terms of sales.</w:t>
            </w:r>
          </w:p>
          <w:p w14:paraId="67605FAC" w14:textId="4D2D6362" w:rsidR="002B2E73" w:rsidRPr="009F5421" w:rsidRDefault="002B2E73" w:rsidP="00576944">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576944">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6C59D261" w:rsidR="009F5421" w:rsidRPr="009F5421" w:rsidRDefault="009F5421" w:rsidP="00576944">
            <w:pPr>
              <w:pStyle w:val="Default"/>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w:t>
            </w:r>
          </w:p>
          <w:p w14:paraId="44EB25FE" w14:textId="77777777" w:rsidR="009F5421" w:rsidRPr="009F5421" w:rsidRDefault="009F5421" w:rsidP="00576944">
            <w:pPr>
              <w:pStyle w:val="Default"/>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576944">
                  <w:pPr>
                    <w:pStyle w:val="Default"/>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576944">
                  <w:pPr>
                    <w:pStyle w:val="Default"/>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576944">
                  <w:pPr>
                    <w:pStyle w:val="Default"/>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576944">
                  <w:pPr>
                    <w:pStyle w:val="Default"/>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576944">
                  <w:pPr>
                    <w:pStyle w:val="Default"/>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576944">
                  <w:pPr>
                    <w:pStyle w:val="Default"/>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4CE8BDB6" w:rsidR="009F5421" w:rsidRPr="009F5421" w:rsidRDefault="009F5421" w:rsidP="00576944">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down (less than -1%)</w:t>
            </w:r>
          </w:p>
          <w:p w14:paraId="38D481B5" w14:textId="77777777" w:rsidR="009F5421" w:rsidRPr="009F5421" w:rsidRDefault="009F5421" w:rsidP="00576944">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576944">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576944">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576944">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576944">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576944">
            <w:pPr>
              <w:contextualSpacing/>
              <w:rPr>
                <w:rFonts w:ascii="Times New Roman" w:hAnsi="Times New Roman" w:cs="Times New Roman"/>
                <w:i/>
                <w:vertAlign w:val="superscript"/>
              </w:rPr>
            </w:pPr>
          </w:p>
          <w:p w14:paraId="6CA33490" w14:textId="788FD362" w:rsidR="009F5421" w:rsidRPr="009F5421" w:rsidRDefault="00A44EBC" w:rsidP="00576944">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576944">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576944">
      <w:pPr>
        <w:pStyle w:val="NormalWeb"/>
        <w:spacing w:before="0" w:beforeAutospacing="0" w:after="0" w:afterAutospacing="0"/>
      </w:pPr>
    </w:p>
    <w:p w14:paraId="51EB5A77" w14:textId="77777777" w:rsidR="009F5421" w:rsidRPr="00925659" w:rsidRDefault="009F5421" w:rsidP="00925659">
      <w:pPr>
        <w:spacing w:after="0" w:line="240" w:lineRule="auto"/>
        <w:jc w:val="center"/>
        <w:rPr>
          <w:b/>
          <w:sz w:val="32"/>
          <w:szCs w:val="32"/>
        </w:rPr>
      </w:pPr>
    </w:p>
    <w:sectPr w:rsidR="009F5421" w:rsidRPr="00925659" w:rsidSect="00576944">
      <w:headerReference w:type="default" r:id="rId15"/>
      <w:footerReference w:type="default" r:id="rId16"/>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DE966" w14:textId="77777777" w:rsidR="0084608D" w:rsidRDefault="0084608D" w:rsidP="00B81990">
      <w:pPr>
        <w:spacing w:after="0" w:line="240" w:lineRule="auto"/>
      </w:pPr>
      <w:r>
        <w:separator/>
      </w:r>
    </w:p>
  </w:endnote>
  <w:endnote w:type="continuationSeparator" w:id="0">
    <w:p w14:paraId="135F902E" w14:textId="77777777" w:rsidR="0084608D" w:rsidRDefault="0084608D"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35B9AC50" w:rsidR="00E0056C" w:rsidRPr="003705BC" w:rsidRDefault="00E0056C">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7C106F">
          <w:rPr>
            <w:rFonts w:ascii="Times New Roman" w:hAnsi="Times New Roman" w:cs="Times New Roman"/>
            <w:noProof/>
          </w:rPr>
          <w:t>3</w:t>
        </w:r>
        <w:r w:rsidRPr="003705BC">
          <w:rPr>
            <w:rFonts w:ascii="Times New Roman" w:hAnsi="Times New Roman" w:cs="Times New Roman"/>
            <w:noProof/>
          </w:rPr>
          <w:fldChar w:fldCharType="end"/>
        </w:r>
      </w:p>
    </w:sdtContent>
  </w:sdt>
  <w:p w14:paraId="000FC5F3" w14:textId="77777777" w:rsidR="00E0056C" w:rsidRDefault="00E00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1893D" w14:textId="77777777" w:rsidR="0084608D" w:rsidRDefault="0084608D" w:rsidP="00B81990">
      <w:pPr>
        <w:spacing w:after="0" w:line="240" w:lineRule="auto"/>
      </w:pPr>
      <w:r>
        <w:separator/>
      </w:r>
    </w:p>
  </w:footnote>
  <w:footnote w:type="continuationSeparator" w:id="0">
    <w:p w14:paraId="0F697F3C" w14:textId="77777777" w:rsidR="0084608D" w:rsidRDefault="0084608D" w:rsidP="00B81990">
      <w:pPr>
        <w:spacing w:after="0" w:line="240" w:lineRule="auto"/>
      </w:pPr>
      <w:r>
        <w:continuationSeparator/>
      </w:r>
    </w:p>
  </w:footnote>
  <w:footnote w:id="1">
    <w:p w14:paraId="4E7D34D1" w14:textId="1F14FA78" w:rsidR="00E0056C" w:rsidRPr="00727F1A" w:rsidRDefault="00E0056C" w:rsidP="00FA2612">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37D3220B" w14:textId="26115C1C" w:rsidR="00E0056C" w:rsidRDefault="00E0056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DE93" w14:textId="3EE3B8EF" w:rsidR="00E0056C" w:rsidRDefault="00E0056C" w:rsidP="00584765">
    <w:pPr>
      <w:pStyle w:val="Header"/>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238D0619"/>
    <w:multiLevelType w:val="hybridMultilevel"/>
    <w:tmpl w:val="536E23F2"/>
    <w:lvl w:ilvl="0" w:tplc="5756D7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5"/>
  </w:num>
  <w:num w:numId="5">
    <w:abstractNumId w:val="7"/>
  </w:num>
  <w:num w:numId="6">
    <w:abstractNumId w:val="9"/>
  </w:num>
  <w:num w:numId="7">
    <w:abstractNumId w:val="4"/>
  </w:num>
  <w:num w:numId="8">
    <w:abstractNumId w:val="11"/>
  </w:num>
  <w:num w:numId="9">
    <w:abstractNumId w:val="8"/>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57"/>
    <w:rsid w:val="00000209"/>
    <w:rsid w:val="00013CAF"/>
    <w:rsid w:val="00021AB1"/>
    <w:rsid w:val="00025620"/>
    <w:rsid w:val="00026033"/>
    <w:rsid w:val="00031DFE"/>
    <w:rsid w:val="00034A5A"/>
    <w:rsid w:val="00037176"/>
    <w:rsid w:val="00053843"/>
    <w:rsid w:val="000628D6"/>
    <w:rsid w:val="00065202"/>
    <w:rsid w:val="00065EDD"/>
    <w:rsid w:val="00093B14"/>
    <w:rsid w:val="00097167"/>
    <w:rsid w:val="0009761D"/>
    <w:rsid w:val="000B078A"/>
    <w:rsid w:val="000C390A"/>
    <w:rsid w:val="000D169A"/>
    <w:rsid w:val="000D2DBD"/>
    <w:rsid w:val="000D5B12"/>
    <w:rsid w:val="000D5EC6"/>
    <w:rsid w:val="000E4289"/>
    <w:rsid w:val="000E42F3"/>
    <w:rsid w:val="000E7FF9"/>
    <w:rsid w:val="000F1DBA"/>
    <w:rsid w:val="000F6AE1"/>
    <w:rsid w:val="001158B6"/>
    <w:rsid w:val="00117EA6"/>
    <w:rsid w:val="00151017"/>
    <w:rsid w:val="0016283C"/>
    <w:rsid w:val="001655AC"/>
    <w:rsid w:val="00166A4E"/>
    <w:rsid w:val="00173637"/>
    <w:rsid w:val="00180A28"/>
    <w:rsid w:val="00195BE5"/>
    <w:rsid w:val="00196273"/>
    <w:rsid w:val="001A6746"/>
    <w:rsid w:val="001B6932"/>
    <w:rsid w:val="001C3CD1"/>
    <w:rsid w:val="001C51A0"/>
    <w:rsid w:val="001D09C4"/>
    <w:rsid w:val="001D528C"/>
    <w:rsid w:val="001E1067"/>
    <w:rsid w:val="001E3345"/>
    <w:rsid w:val="001E4459"/>
    <w:rsid w:val="001E6B4A"/>
    <w:rsid w:val="001E70EB"/>
    <w:rsid w:val="00204D14"/>
    <w:rsid w:val="0021734F"/>
    <w:rsid w:val="00221CD4"/>
    <w:rsid w:val="002232C2"/>
    <w:rsid w:val="002267FF"/>
    <w:rsid w:val="00227966"/>
    <w:rsid w:val="00231EFD"/>
    <w:rsid w:val="00232F2E"/>
    <w:rsid w:val="002528D0"/>
    <w:rsid w:val="0025352C"/>
    <w:rsid w:val="00260665"/>
    <w:rsid w:val="00271E01"/>
    <w:rsid w:val="00272D72"/>
    <w:rsid w:val="00273D5F"/>
    <w:rsid w:val="00274379"/>
    <w:rsid w:val="002875EA"/>
    <w:rsid w:val="002A1D6C"/>
    <w:rsid w:val="002A2879"/>
    <w:rsid w:val="002B08C2"/>
    <w:rsid w:val="002B2E73"/>
    <w:rsid w:val="002B7E20"/>
    <w:rsid w:val="002C552F"/>
    <w:rsid w:val="002C7882"/>
    <w:rsid w:val="002E5927"/>
    <w:rsid w:val="002F048F"/>
    <w:rsid w:val="00302FBC"/>
    <w:rsid w:val="00310E5B"/>
    <w:rsid w:val="0031287C"/>
    <w:rsid w:val="003204B3"/>
    <w:rsid w:val="00320A9D"/>
    <w:rsid w:val="00322121"/>
    <w:rsid w:val="003225AA"/>
    <w:rsid w:val="00322887"/>
    <w:rsid w:val="003267C1"/>
    <w:rsid w:val="00332D92"/>
    <w:rsid w:val="00337BA5"/>
    <w:rsid w:val="00343E59"/>
    <w:rsid w:val="003510A7"/>
    <w:rsid w:val="0035640B"/>
    <w:rsid w:val="00360057"/>
    <w:rsid w:val="003705BC"/>
    <w:rsid w:val="00376B5A"/>
    <w:rsid w:val="00381F13"/>
    <w:rsid w:val="003A04E1"/>
    <w:rsid w:val="003A3F72"/>
    <w:rsid w:val="003B3A67"/>
    <w:rsid w:val="003B45EB"/>
    <w:rsid w:val="003B4A6B"/>
    <w:rsid w:val="003D7A28"/>
    <w:rsid w:val="003E289D"/>
    <w:rsid w:val="003E2EFE"/>
    <w:rsid w:val="003E6597"/>
    <w:rsid w:val="003E6C3E"/>
    <w:rsid w:val="003F35DA"/>
    <w:rsid w:val="003F5777"/>
    <w:rsid w:val="00407044"/>
    <w:rsid w:val="00410FBB"/>
    <w:rsid w:val="00413AF7"/>
    <w:rsid w:val="004239D7"/>
    <w:rsid w:val="00424D9F"/>
    <w:rsid w:val="00431952"/>
    <w:rsid w:val="00433F9F"/>
    <w:rsid w:val="00436CA1"/>
    <w:rsid w:val="004412D2"/>
    <w:rsid w:val="004442DD"/>
    <w:rsid w:val="00466183"/>
    <w:rsid w:val="00470DD7"/>
    <w:rsid w:val="004770FA"/>
    <w:rsid w:val="004A0C11"/>
    <w:rsid w:val="004A5ABA"/>
    <w:rsid w:val="004B0842"/>
    <w:rsid w:val="004C6586"/>
    <w:rsid w:val="004C6A56"/>
    <w:rsid w:val="004D05D3"/>
    <w:rsid w:val="004D357B"/>
    <w:rsid w:val="00502A3B"/>
    <w:rsid w:val="0052567E"/>
    <w:rsid w:val="00531C53"/>
    <w:rsid w:val="00537192"/>
    <w:rsid w:val="00571578"/>
    <w:rsid w:val="00576944"/>
    <w:rsid w:val="00583611"/>
    <w:rsid w:val="00584765"/>
    <w:rsid w:val="005866CC"/>
    <w:rsid w:val="005A2E91"/>
    <w:rsid w:val="005B3E50"/>
    <w:rsid w:val="005C067D"/>
    <w:rsid w:val="005C2FB0"/>
    <w:rsid w:val="005C4298"/>
    <w:rsid w:val="005D60C2"/>
    <w:rsid w:val="005E28DD"/>
    <w:rsid w:val="005E3E89"/>
    <w:rsid w:val="005F5FD8"/>
    <w:rsid w:val="00607937"/>
    <w:rsid w:val="0061399F"/>
    <w:rsid w:val="006375AE"/>
    <w:rsid w:val="0064464F"/>
    <w:rsid w:val="00655AF8"/>
    <w:rsid w:val="00681E4B"/>
    <w:rsid w:val="006830D3"/>
    <w:rsid w:val="00687378"/>
    <w:rsid w:val="00690BD4"/>
    <w:rsid w:val="00692450"/>
    <w:rsid w:val="00693625"/>
    <w:rsid w:val="006A5DF8"/>
    <w:rsid w:val="006A5E31"/>
    <w:rsid w:val="006B257F"/>
    <w:rsid w:val="006D4752"/>
    <w:rsid w:val="006D5BA6"/>
    <w:rsid w:val="006F0B44"/>
    <w:rsid w:val="006F2DA7"/>
    <w:rsid w:val="006F3A19"/>
    <w:rsid w:val="00700ACC"/>
    <w:rsid w:val="00707534"/>
    <w:rsid w:val="0071262A"/>
    <w:rsid w:val="00712FBA"/>
    <w:rsid w:val="00727E39"/>
    <w:rsid w:val="00727F1A"/>
    <w:rsid w:val="00733A24"/>
    <w:rsid w:val="007471A8"/>
    <w:rsid w:val="00755B0C"/>
    <w:rsid w:val="00760A14"/>
    <w:rsid w:val="00762EAF"/>
    <w:rsid w:val="00763302"/>
    <w:rsid w:val="00764EB1"/>
    <w:rsid w:val="00777318"/>
    <w:rsid w:val="00777433"/>
    <w:rsid w:val="007822A5"/>
    <w:rsid w:val="00791854"/>
    <w:rsid w:val="00796D1B"/>
    <w:rsid w:val="007B1C01"/>
    <w:rsid w:val="007C106F"/>
    <w:rsid w:val="007E34C7"/>
    <w:rsid w:val="007E4CCC"/>
    <w:rsid w:val="007F043E"/>
    <w:rsid w:val="007F3947"/>
    <w:rsid w:val="007F71B0"/>
    <w:rsid w:val="0080376C"/>
    <w:rsid w:val="008064AB"/>
    <w:rsid w:val="00807E0B"/>
    <w:rsid w:val="008145F7"/>
    <w:rsid w:val="0082161A"/>
    <w:rsid w:val="00843357"/>
    <w:rsid w:val="00843DBB"/>
    <w:rsid w:val="0084608D"/>
    <w:rsid w:val="0085584D"/>
    <w:rsid w:val="0086778C"/>
    <w:rsid w:val="00873384"/>
    <w:rsid w:val="00881AF0"/>
    <w:rsid w:val="008859D8"/>
    <w:rsid w:val="008924DF"/>
    <w:rsid w:val="008975DD"/>
    <w:rsid w:val="008A019B"/>
    <w:rsid w:val="008A3A87"/>
    <w:rsid w:val="008B6EB4"/>
    <w:rsid w:val="008D63AC"/>
    <w:rsid w:val="008D6D83"/>
    <w:rsid w:val="008E3EB5"/>
    <w:rsid w:val="008F1F2D"/>
    <w:rsid w:val="009002A7"/>
    <w:rsid w:val="00901FA2"/>
    <w:rsid w:val="009133FE"/>
    <w:rsid w:val="009174E4"/>
    <w:rsid w:val="00925659"/>
    <w:rsid w:val="00930466"/>
    <w:rsid w:val="0093664C"/>
    <w:rsid w:val="00943D62"/>
    <w:rsid w:val="00960C40"/>
    <w:rsid w:val="00961726"/>
    <w:rsid w:val="00976C79"/>
    <w:rsid w:val="0098116E"/>
    <w:rsid w:val="009A17DB"/>
    <w:rsid w:val="009B5ECF"/>
    <w:rsid w:val="009E05FE"/>
    <w:rsid w:val="009F5421"/>
    <w:rsid w:val="009F7A50"/>
    <w:rsid w:val="00A04A2C"/>
    <w:rsid w:val="00A14CD0"/>
    <w:rsid w:val="00A24BBB"/>
    <w:rsid w:val="00A35195"/>
    <w:rsid w:val="00A36532"/>
    <w:rsid w:val="00A409BA"/>
    <w:rsid w:val="00A44EBC"/>
    <w:rsid w:val="00A47F48"/>
    <w:rsid w:val="00A625F5"/>
    <w:rsid w:val="00A706CF"/>
    <w:rsid w:val="00A72F20"/>
    <w:rsid w:val="00A93D2E"/>
    <w:rsid w:val="00AA4EBB"/>
    <w:rsid w:val="00AA63A1"/>
    <w:rsid w:val="00AC6C7C"/>
    <w:rsid w:val="00AD6B64"/>
    <w:rsid w:val="00B06244"/>
    <w:rsid w:val="00B103AE"/>
    <w:rsid w:val="00B215BA"/>
    <w:rsid w:val="00B4405A"/>
    <w:rsid w:val="00B5663F"/>
    <w:rsid w:val="00B6059C"/>
    <w:rsid w:val="00B6165E"/>
    <w:rsid w:val="00B70FC1"/>
    <w:rsid w:val="00B72400"/>
    <w:rsid w:val="00B7624A"/>
    <w:rsid w:val="00B81990"/>
    <w:rsid w:val="00B84BE6"/>
    <w:rsid w:val="00B854C5"/>
    <w:rsid w:val="00B85782"/>
    <w:rsid w:val="00B920CC"/>
    <w:rsid w:val="00B96C5A"/>
    <w:rsid w:val="00BA1E11"/>
    <w:rsid w:val="00BA3708"/>
    <w:rsid w:val="00BB2EDA"/>
    <w:rsid w:val="00BE33D4"/>
    <w:rsid w:val="00BF61A4"/>
    <w:rsid w:val="00BF74CB"/>
    <w:rsid w:val="00C25290"/>
    <w:rsid w:val="00C35070"/>
    <w:rsid w:val="00C42227"/>
    <w:rsid w:val="00C54808"/>
    <w:rsid w:val="00C55FA4"/>
    <w:rsid w:val="00C56040"/>
    <w:rsid w:val="00C81AC1"/>
    <w:rsid w:val="00C96087"/>
    <w:rsid w:val="00C96C66"/>
    <w:rsid w:val="00CA603B"/>
    <w:rsid w:val="00CB54EB"/>
    <w:rsid w:val="00CC1C18"/>
    <w:rsid w:val="00CC44AE"/>
    <w:rsid w:val="00CC5CB7"/>
    <w:rsid w:val="00CC5DF3"/>
    <w:rsid w:val="00CE54BB"/>
    <w:rsid w:val="00CE599B"/>
    <w:rsid w:val="00CE7A64"/>
    <w:rsid w:val="00CF472C"/>
    <w:rsid w:val="00D005C5"/>
    <w:rsid w:val="00D02C8B"/>
    <w:rsid w:val="00D10FE5"/>
    <w:rsid w:val="00D243AE"/>
    <w:rsid w:val="00D3337A"/>
    <w:rsid w:val="00D35086"/>
    <w:rsid w:val="00D40035"/>
    <w:rsid w:val="00D40FCB"/>
    <w:rsid w:val="00D42893"/>
    <w:rsid w:val="00D86FBB"/>
    <w:rsid w:val="00D925B4"/>
    <w:rsid w:val="00D969A2"/>
    <w:rsid w:val="00DA5475"/>
    <w:rsid w:val="00DA7B90"/>
    <w:rsid w:val="00DB6503"/>
    <w:rsid w:val="00DB6736"/>
    <w:rsid w:val="00DC0290"/>
    <w:rsid w:val="00DC1400"/>
    <w:rsid w:val="00DC3C63"/>
    <w:rsid w:val="00DC6FF1"/>
    <w:rsid w:val="00DC7809"/>
    <w:rsid w:val="00DD58D7"/>
    <w:rsid w:val="00DE4CA8"/>
    <w:rsid w:val="00DE57C4"/>
    <w:rsid w:val="00DF1CBE"/>
    <w:rsid w:val="00E0056C"/>
    <w:rsid w:val="00E05EDE"/>
    <w:rsid w:val="00E203F6"/>
    <w:rsid w:val="00E33FBC"/>
    <w:rsid w:val="00E368B6"/>
    <w:rsid w:val="00E502B5"/>
    <w:rsid w:val="00E5268F"/>
    <w:rsid w:val="00E61745"/>
    <w:rsid w:val="00E6236E"/>
    <w:rsid w:val="00E66E40"/>
    <w:rsid w:val="00E757F1"/>
    <w:rsid w:val="00E80133"/>
    <w:rsid w:val="00EA5602"/>
    <w:rsid w:val="00EA79D4"/>
    <w:rsid w:val="00ED00BB"/>
    <w:rsid w:val="00ED330C"/>
    <w:rsid w:val="00ED713A"/>
    <w:rsid w:val="00ED79C5"/>
    <w:rsid w:val="00EF08B1"/>
    <w:rsid w:val="00EF66A2"/>
    <w:rsid w:val="00EF764C"/>
    <w:rsid w:val="00F029BC"/>
    <w:rsid w:val="00F04669"/>
    <w:rsid w:val="00F046DB"/>
    <w:rsid w:val="00F12C4C"/>
    <w:rsid w:val="00F37B99"/>
    <w:rsid w:val="00F412C2"/>
    <w:rsid w:val="00F62E1D"/>
    <w:rsid w:val="00F66519"/>
    <w:rsid w:val="00FA155C"/>
    <w:rsid w:val="00FA2612"/>
    <w:rsid w:val="00FB325F"/>
    <w:rsid w:val="00FB3733"/>
    <w:rsid w:val="00FC0DDB"/>
    <w:rsid w:val="00FC49EB"/>
    <w:rsid w:val="00FC5739"/>
    <w:rsid w:val="00FD53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paragraph" w:styleId="EndnoteText">
    <w:name w:val="endnote text"/>
    <w:basedOn w:val="Normal"/>
    <w:link w:val="EndnoteTextChar"/>
    <w:uiPriority w:val="99"/>
    <w:semiHidden/>
    <w:unhideWhenUsed/>
    <w:rsid w:val="007C10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106F"/>
    <w:rPr>
      <w:sz w:val="20"/>
      <w:szCs w:val="20"/>
      <w:lang w:val="en-IN"/>
    </w:rPr>
  </w:style>
  <w:style w:type="character" w:styleId="EndnoteReference">
    <w:name w:val="endnote reference"/>
    <w:basedOn w:val="DefaultParagraphFont"/>
    <w:uiPriority w:val="99"/>
    <w:semiHidden/>
    <w:unhideWhenUsed/>
    <w:rsid w:val="007C10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paragraph" w:styleId="EndnoteText">
    <w:name w:val="endnote text"/>
    <w:basedOn w:val="Normal"/>
    <w:link w:val="EndnoteTextChar"/>
    <w:uiPriority w:val="99"/>
    <w:semiHidden/>
    <w:unhideWhenUsed/>
    <w:rsid w:val="007C10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106F"/>
    <w:rPr>
      <w:sz w:val="20"/>
      <w:szCs w:val="20"/>
      <w:lang w:val="en-IN"/>
    </w:rPr>
  </w:style>
  <w:style w:type="character" w:styleId="EndnoteReference">
    <w:name w:val="endnote reference"/>
    <w:basedOn w:val="DefaultParagraphFont"/>
    <w:uiPriority w:val="99"/>
    <w:semiHidden/>
    <w:unhideWhenUsed/>
    <w:rsid w:val="007C10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E:\Abhiman\BIES\Estimation%20April%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bhiman\BIES\Results%20April%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bhiman\BIES\Results%20April%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bhiman\BIES\Results%20April%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Abhiman\BIES\Results%20April%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a:solidFill>
                <a:srgbClr val="C00000"/>
              </a:solidFill>
            </a:ln>
          </c:spPr>
          <c:marker>
            <c:symbol val="none"/>
          </c:marker>
          <c:cat>
            <c:numRef>
              <c:f>Sheet1!$D$26:$D$37</c:f>
              <c:numCache>
                <c:formatCode>mmm\-yy</c:formatCode>
                <c:ptCount val="12"/>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numCache>
            </c:numRef>
          </c:cat>
          <c:val>
            <c:numRef>
              <c:f>Sheet1!$E$26:$E$37</c:f>
              <c:numCache>
                <c:formatCode>0.00</c:formatCode>
                <c:ptCount val="12"/>
                <c:pt idx="0">
                  <c:v>3.03</c:v>
                </c:pt>
                <c:pt idx="1">
                  <c:v>3.04</c:v>
                </c:pt>
                <c:pt idx="2">
                  <c:v>2.86</c:v>
                </c:pt>
                <c:pt idx="3">
                  <c:v>3.5</c:v>
                </c:pt>
                <c:pt idx="4">
                  <c:v>3.37</c:v>
                </c:pt>
                <c:pt idx="5">
                  <c:v>3.08</c:v>
                </c:pt>
                <c:pt idx="6">
                  <c:v>3.12</c:v>
                </c:pt>
                <c:pt idx="7">
                  <c:v>3.52</c:v>
                </c:pt>
                <c:pt idx="8">
                  <c:v>3.79</c:v>
                </c:pt>
                <c:pt idx="9">
                  <c:v>3.85</c:v>
                </c:pt>
                <c:pt idx="10">
                  <c:v>3.73</c:v>
                </c:pt>
                <c:pt idx="11">
                  <c:v>4.2062499999999998</c:v>
                </c:pt>
              </c:numCache>
            </c:numRef>
          </c:val>
          <c:smooth val="0"/>
        </c:ser>
        <c:ser>
          <c:idx val="2"/>
          <c:order val="1"/>
          <c:spPr>
            <a:ln w="31750">
              <a:solidFill>
                <a:srgbClr val="00B050"/>
              </a:solidFill>
              <a:prstDash val="sysDash"/>
            </a:ln>
          </c:spPr>
          <c:marker>
            <c:symbol val="none"/>
          </c:marker>
          <c:cat>
            <c:numRef>
              <c:f>Sheet1!$D$26:$D$37</c:f>
              <c:numCache>
                <c:formatCode>mmm\-yy</c:formatCode>
                <c:ptCount val="12"/>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numCache>
            </c:numRef>
          </c:cat>
          <c:val>
            <c:numRef>
              <c:f>Sheet1!$G$26:$G$37</c:f>
              <c:numCache>
                <c:formatCode>General</c:formatCode>
                <c:ptCount val="12"/>
                <c:pt idx="0">
                  <c:v>4</c:v>
                </c:pt>
                <c:pt idx="1">
                  <c:v>4</c:v>
                </c:pt>
                <c:pt idx="2">
                  <c:v>4</c:v>
                </c:pt>
                <c:pt idx="3">
                  <c:v>4</c:v>
                </c:pt>
                <c:pt idx="4">
                  <c:v>4</c:v>
                </c:pt>
                <c:pt idx="5">
                  <c:v>4</c:v>
                </c:pt>
                <c:pt idx="6">
                  <c:v>4</c:v>
                </c:pt>
                <c:pt idx="7">
                  <c:v>4</c:v>
                </c:pt>
                <c:pt idx="8">
                  <c:v>4</c:v>
                </c:pt>
                <c:pt idx="9">
                  <c:v>4</c:v>
                </c:pt>
                <c:pt idx="10">
                  <c:v>4</c:v>
                </c:pt>
                <c:pt idx="11">
                  <c:v>4</c:v>
                </c:pt>
              </c:numCache>
            </c:numRef>
          </c:val>
          <c:smooth val="0"/>
        </c:ser>
        <c:dLbls>
          <c:showLegendKey val="0"/>
          <c:showVal val="0"/>
          <c:showCatName val="0"/>
          <c:showSerName val="0"/>
          <c:showPercent val="0"/>
          <c:showBubbleSize val="0"/>
        </c:dLbls>
        <c:marker val="1"/>
        <c:smooth val="0"/>
        <c:axId val="110693760"/>
        <c:axId val="110958080"/>
      </c:lineChart>
      <c:dateAx>
        <c:axId val="110693760"/>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110958080"/>
        <c:crosses val="autoZero"/>
        <c:auto val="1"/>
        <c:lblOffset val="100"/>
        <c:baseTimeUnit val="months"/>
      </c:dateAx>
      <c:valAx>
        <c:axId val="11095808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110693760"/>
        <c:crosses val="autoZero"/>
        <c:crossBetween val="between"/>
        <c:majorUnit val="1"/>
        <c:minorUnit val="0.5"/>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77719451735205E-2"/>
          <c:y val="4.0515653775322284E-2"/>
          <c:w val="0.90122228054826481"/>
          <c:h val="0.78829019300764203"/>
        </c:manualLayout>
      </c:layout>
      <c:barChart>
        <c:barDir val="col"/>
        <c:grouping val="clustered"/>
        <c:varyColors val="0"/>
        <c:ser>
          <c:idx val="0"/>
          <c:order val="0"/>
          <c:tx>
            <c:strRef>
              <c:f>Question5!$B$7</c:f>
              <c:strCache>
                <c:ptCount val="1"/>
                <c:pt idx="0">
                  <c:v>Feb-18</c:v>
                </c:pt>
              </c:strCache>
            </c:strRef>
          </c:tx>
          <c:invertIfNegative val="0"/>
          <c:dLbls>
            <c:numFmt formatCode="0%" sourceLinked="0"/>
            <c:dLblPos val="outEnd"/>
            <c:showLegendKey val="0"/>
            <c:showVal val="1"/>
            <c:showCatName val="0"/>
            <c:showSerName val="0"/>
            <c:showPercent val="0"/>
            <c:showBubbleSize val="0"/>
            <c:showLeaderLines val="0"/>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Question5!$B$8:$B$16</c:f>
              <c:numCache>
                <c:formatCode>0.00%</c:formatCode>
                <c:ptCount val="9"/>
                <c:pt idx="0">
                  <c:v>0.04</c:v>
                </c:pt>
                <c:pt idx="1">
                  <c:v>0.14230000000000001</c:v>
                </c:pt>
                <c:pt idx="2">
                  <c:v>0.12659999999999999</c:v>
                </c:pt>
                <c:pt idx="3">
                  <c:v>0.18740000000000001</c:v>
                </c:pt>
                <c:pt idx="4">
                  <c:v>0.19620000000000001</c:v>
                </c:pt>
                <c:pt idx="5">
                  <c:v>0.13619999999999999</c:v>
                </c:pt>
                <c:pt idx="6">
                  <c:v>7.4200000000000002E-2</c:v>
                </c:pt>
                <c:pt idx="7">
                  <c:v>4.82E-2</c:v>
                </c:pt>
                <c:pt idx="8">
                  <c:v>4.8300000000000003E-2</c:v>
                </c:pt>
              </c:numCache>
            </c:numRef>
          </c:val>
        </c:ser>
        <c:ser>
          <c:idx val="1"/>
          <c:order val="1"/>
          <c:tx>
            <c:strRef>
              <c:f>Question5!$C$7</c:f>
              <c:strCache>
                <c:ptCount val="1"/>
                <c:pt idx="0">
                  <c:v>Apr-18</c:v>
                </c:pt>
              </c:strCache>
            </c:strRef>
          </c:tx>
          <c:invertIfNegative val="0"/>
          <c:dLbls>
            <c:dLbl>
              <c:idx val="9"/>
              <c:layout>
                <c:manualLayout>
                  <c:x val="8.385744234800839E-3"/>
                  <c:y val="-2.2099447513812154E-2"/>
                </c:manualLayout>
              </c:layout>
              <c:dLblPos val="outEnd"/>
              <c:showLegendKey val="0"/>
              <c:showVal val="1"/>
              <c:showCatName val="0"/>
              <c:showSerName val="0"/>
              <c:showPercent val="0"/>
              <c:showBubbleSize val="0"/>
            </c:dLbl>
            <c:numFmt formatCode="0%" sourceLinked="0"/>
            <c:dLblPos val="outEnd"/>
            <c:showLegendKey val="0"/>
            <c:showVal val="1"/>
            <c:showCatName val="0"/>
            <c:showSerName val="0"/>
            <c:showPercent val="0"/>
            <c:showBubbleSize val="0"/>
            <c:showLeaderLines val="0"/>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Question5!$C$8:$C$16</c:f>
              <c:numCache>
                <c:formatCode>0.00%</c:formatCode>
                <c:ptCount val="9"/>
                <c:pt idx="0">
                  <c:v>1.6E-2</c:v>
                </c:pt>
                <c:pt idx="1">
                  <c:v>7.3999999999999996E-2</c:v>
                </c:pt>
                <c:pt idx="2">
                  <c:v>0.13400000000000001</c:v>
                </c:pt>
                <c:pt idx="3">
                  <c:v>0.1167</c:v>
                </c:pt>
                <c:pt idx="4">
                  <c:v>0.24529999999999999</c:v>
                </c:pt>
                <c:pt idx="5">
                  <c:v>0.1759</c:v>
                </c:pt>
                <c:pt idx="6">
                  <c:v>0.1004</c:v>
                </c:pt>
                <c:pt idx="7">
                  <c:v>6.8000000000000005E-2</c:v>
                </c:pt>
                <c:pt idx="8">
                  <c:v>6.8000000000000005E-2</c:v>
                </c:pt>
              </c:numCache>
            </c:numRef>
          </c:val>
        </c:ser>
        <c:dLbls>
          <c:dLblPos val="outEnd"/>
          <c:showLegendKey val="0"/>
          <c:showVal val="1"/>
          <c:showCatName val="0"/>
          <c:showSerName val="0"/>
          <c:showPercent val="0"/>
          <c:showBubbleSize val="0"/>
        </c:dLbls>
        <c:gapWidth val="150"/>
        <c:axId val="116162944"/>
        <c:axId val="116164480"/>
      </c:barChart>
      <c:catAx>
        <c:axId val="116162944"/>
        <c:scaling>
          <c:orientation val="minMax"/>
        </c:scaling>
        <c:delete val="0"/>
        <c:axPos val="b"/>
        <c:numFmt formatCode="General" sourceLinked="0"/>
        <c:majorTickMark val="out"/>
        <c:minorTickMark val="none"/>
        <c:tickLblPos val="nextTo"/>
        <c:crossAx val="116164480"/>
        <c:crosses val="autoZero"/>
        <c:auto val="1"/>
        <c:lblAlgn val="ctr"/>
        <c:lblOffset val="100"/>
        <c:noMultiLvlLbl val="0"/>
      </c:catAx>
      <c:valAx>
        <c:axId val="116164480"/>
        <c:scaling>
          <c:orientation val="minMax"/>
        </c:scaling>
        <c:delete val="0"/>
        <c:axPos val="l"/>
        <c:majorGridlines/>
        <c:numFmt formatCode="0%" sourceLinked="0"/>
        <c:majorTickMark val="out"/>
        <c:minorTickMark val="none"/>
        <c:tickLblPos val="nextTo"/>
        <c:crossAx val="116162944"/>
        <c:crosses val="autoZero"/>
        <c:crossBetween val="between"/>
      </c:valAx>
    </c:plotArea>
    <c:legend>
      <c:legendPos val="r"/>
      <c:layout>
        <c:manualLayout>
          <c:xMode val="edge"/>
          <c:yMode val="edge"/>
          <c:x val="0.84995308776058165"/>
          <c:y val="8.4057655776453369E-2"/>
          <c:w val="0.10655609859112439"/>
          <c:h val="0.16712022984508643"/>
        </c:manualLayout>
      </c:layout>
      <c:overlay val="0"/>
    </c:legend>
    <c:plotVisOnly val="1"/>
    <c:dispBlanksAs val="gap"/>
    <c:showDLblsOverMax val="0"/>
  </c:chart>
  <c:txPr>
    <a:bodyPr/>
    <a:lstStyle/>
    <a:p>
      <a:pPr>
        <a:defRPr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3"/>
          <c:order val="0"/>
          <c:tx>
            <c:strRef>
              <c:f>Question3!$J$3</c:f>
              <c:strCache>
                <c:ptCount val="1"/>
                <c:pt idx="0">
                  <c:v>Jan-18</c:v>
                </c:pt>
              </c:strCache>
            </c:strRef>
          </c:tx>
          <c:invertIfNegative val="0"/>
          <c:dLbls>
            <c:dLbl>
              <c:idx val="1"/>
              <c:layout>
                <c:manualLayout>
                  <c:x val="-7.1047957371226014E-3"/>
                  <c:y val="-5.3841766659467811E-17"/>
                </c:manualLayout>
              </c:layout>
              <c:showLegendKey val="0"/>
              <c:showVal val="1"/>
              <c:showCatName val="0"/>
              <c:showSerName val="0"/>
              <c:showPercent val="0"/>
              <c:showBubbleSize val="0"/>
            </c:dLbl>
            <c:dLbl>
              <c:idx val="5"/>
              <c:layout>
                <c:manualLayout>
                  <c:x val="-7.104795737122558E-3"/>
                  <c:y val="-1.7621145374449341E-2"/>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Question3!$J$4:$J$9</c:f>
              <c:numCache>
                <c:formatCode>0.00%</c:formatCode>
                <c:ptCount val="6"/>
                <c:pt idx="0">
                  <c:v>7.4999999999999997E-2</c:v>
                </c:pt>
                <c:pt idx="1">
                  <c:v>0.113</c:v>
                </c:pt>
                <c:pt idx="2">
                  <c:v>0.22500000000000001</c:v>
                </c:pt>
                <c:pt idx="3">
                  <c:v>0.318</c:v>
                </c:pt>
                <c:pt idx="4">
                  <c:v>0.14799999999999999</c:v>
                </c:pt>
                <c:pt idx="5">
                  <c:v>0.125</c:v>
                </c:pt>
              </c:numCache>
            </c:numRef>
          </c:val>
        </c:ser>
        <c:ser>
          <c:idx val="4"/>
          <c:order val="1"/>
          <c:tx>
            <c:strRef>
              <c:f>Question3!$K$3</c:f>
              <c:strCache>
                <c:ptCount val="1"/>
                <c:pt idx="0">
                  <c:v>Feb-18</c:v>
                </c:pt>
              </c:strCache>
            </c:strRef>
          </c:tx>
          <c:invertIfNegative val="0"/>
          <c:dLbls>
            <c:numFmt formatCode="0%" sourceLinked="0"/>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Question3!$K$4:$K$9</c:f>
              <c:numCache>
                <c:formatCode>0.00%</c:formatCode>
                <c:ptCount val="6"/>
                <c:pt idx="0">
                  <c:v>8.5000000000000006E-2</c:v>
                </c:pt>
                <c:pt idx="1">
                  <c:v>0.127</c:v>
                </c:pt>
                <c:pt idx="2">
                  <c:v>0.34300000000000003</c:v>
                </c:pt>
                <c:pt idx="3">
                  <c:v>0.24</c:v>
                </c:pt>
                <c:pt idx="4">
                  <c:v>0.1933</c:v>
                </c:pt>
                <c:pt idx="5">
                  <c:v>0.1105</c:v>
                </c:pt>
              </c:numCache>
            </c:numRef>
          </c:val>
        </c:ser>
        <c:ser>
          <c:idx val="0"/>
          <c:order val="2"/>
          <c:tx>
            <c:strRef>
              <c:f>Question3!$L$3</c:f>
              <c:strCache>
                <c:ptCount val="1"/>
                <c:pt idx="0">
                  <c:v>Mar-18</c:v>
                </c:pt>
              </c:strCache>
            </c:strRef>
          </c:tx>
          <c:spPr>
            <a:solidFill>
              <a:srgbClr val="00B050"/>
            </a:solidFill>
          </c:spPr>
          <c:invertIfNegative val="0"/>
          <c:dLbls>
            <c:dLbl>
              <c:idx val="5"/>
              <c:layout>
                <c:manualLayout>
                  <c:x val="0"/>
                  <c:y val="2.349486049926578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Question3!$L$4:$L$9</c:f>
              <c:numCache>
                <c:formatCode>0%</c:formatCode>
                <c:ptCount val="6"/>
                <c:pt idx="0">
                  <c:v>0.09</c:v>
                </c:pt>
                <c:pt idx="1">
                  <c:v>0.15</c:v>
                </c:pt>
                <c:pt idx="2">
                  <c:v>0.20200000000000001</c:v>
                </c:pt>
                <c:pt idx="3">
                  <c:v>0.28299999999999997</c:v>
                </c:pt>
                <c:pt idx="4">
                  <c:v>0.17</c:v>
                </c:pt>
                <c:pt idx="5">
                  <c:v>0.1</c:v>
                </c:pt>
              </c:numCache>
            </c:numRef>
          </c:val>
        </c:ser>
        <c:ser>
          <c:idx val="1"/>
          <c:order val="3"/>
          <c:tx>
            <c:strRef>
              <c:f>Question3!$M$3</c:f>
              <c:strCache>
                <c:ptCount val="1"/>
                <c:pt idx="0">
                  <c:v>Apr-18</c:v>
                </c:pt>
              </c:strCache>
            </c:strRef>
          </c:tx>
          <c:invertIfNegative val="0"/>
          <c:dLbls>
            <c:dLbl>
              <c:idx val="1"/>
              <c:layout>
                <c:manualLayout>
                  <c:x val="1.1841326228537596E-2"/>
                  <c:y val="-5.3841766659467811E-17"/>
                </c:manualLayout>
              </c:layout>
              <c:showLegendKey val="0"/>
              <c:showVal val="1"/>
              <c:showCatName val="0"/>
              <c:showSerName val="0"/>
              <c:showPercent val="0"/>
              <c:showBubbleSize val="0"/>
            </c:dLbl>
            <c:dLbl>
              <c:idx val="3"/>
              <c:layout>
                <c:manualLayout>
                  <c:x val="9.4730609828300762E-3"/>
                  <c:y val="-2.6920883329733906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Question3!$M$4:$M$9</c:f>
              <c:numCache>
                <c:formatCode>0%</c:formatCode>
                <c:ptCount val="6"/>
                <c:pt idx="0">
                  <c:v>0.08</c:v>
                </c:pt>
                <c:pt idx="1">
                  <c:v>0.11</c:v>
                </c:pt>
                <c:pt idx="2">
                  <c:v>0.23</c:v>
                </c:pt>
                <c:pt idx="3">
                  <c:v>0.24</c:v>
                </c:pt>
                <c:pt idx="4">
                  <c:v>0.2</c:v>
                </c:pt>
                <c:pt idx="5">
                  <c:v>0.13</c:v>
                </c:pt>
              </c:numCache>
            </c:numRef>
          </c:val>
        </c:ser>
        <c:dLbls>
          <c:showLegendKey val="0"/>
          <c:showVal val="0"/>
          <c:showCatName val="0"/>
          <c:showSerName val="0"/>
          <c:showPercent val="0"/>
          <c:showBubbleSize val="0"/>
        </c:dLbls>
        <c:gapWidth val="150"/>
        <c:axId val="116192768"/>
        <c:axId val="116194304"/>
      </c:barChart>
      <c:catAx>
        <c:axId val="116192768"/>
        <c:scaling>
          <c:orientation val="minMax"/>
        </c:scaling>
        <c:delete val="0"/>
        <c:axPos val="b"/>
        <c:numFmt formatCode="General" sourceLinked="0"/>
        <c:majorTickMark val="out"/>
        <c:minorTickMark val="none"/>
        <c:tickLblPos val="nextTo"/>
        <c:txPr>
          <a:bodyPr rot="0" vert="horz"/>
          <a:lstStyle/>
          <a:p>
            <a:pPr>
              <a:defRPr/>
            </a:pPr>
            <a:endParaRPr lang="en-US"/>
          </a:p>
        </c:txPr>
        <c:crossAx val="116194304"/>
        <c:crosses val="autoZero"/>
        <c:auto val="1"/>
        <c:lblAlgn val="ctr"/>
        <c:lblOffset val="100"/>
        <c:noMultiLvlLbl val="0"/>
      </c:catAx>
      <c:valAx>
        <c:axId val="116194304"/>
        <c:scaling>
          <c:orientation val="minMax"/>
        </c:scaling>
        <c:delete val="0"/>
        <c:axPos val="l"/>
        <c:majorGridlines/>
        <c:numFmt formatCode="0%" sourceLinked="0"/>
        <c:majorTickMark val="out"/>
        <c:minorTickMark val="none"/>
        <c:tickLblPos val="nextTo"/>
        <c:crossAx val="116192768"/>
        <c:crosses val="autoZero"/>
        <c:crossBetween val="between"/>
      </c:valAx>
    </c:plotArea>
    <c:legend>
      <c:legendPos val="r"/>
      <c:layout>
        <c:manualLayout>
          <c:xMode val="edge"/>
          <c:yMode val="edge"/>
          <c:x val="0.84893206531001808"/>
          <c:y val="7.3376374576972089E-2"/>
          <c:w val="0.11368578927634046"/>
          <c:h val="0.23378705568780647"/>
        </c:manualLayout>
      </c:layout>
      <c:overlay val="0"/>
      <c:txPr>
        <a:bodyPr/>
        <a:lstStyle/>
        <a:p>
          <a:pPr>
            <a:defRPr sz="900"/>
          </a:pPr>
          <a:endParaRPr lang="en-US"/>
        </a:p>
      </c:txPr>
    </c:legend>
    <c:plotVisOnly val="1"/>
    <c:dispBlanksAs val="gap"/>
    <c:showDLblsOverMax val="0"/>
  </c:chart>
  <c:spPr>
    <a:ln>
      <a:solidFill>
        <a:schemeClr val="accent1"/>
      </a:solid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3"/>
          <c:order val="0"/>
          <c:tx>
            <c:strRef>
              <c:f>'Question 2'!$J$3</c:f>
              <c:strCache>
                <c:ptCount val="1"/>
                <c:pt idx="0">
                  <c:v>Jan-18</c:v>
                </c:pt>
              </c:strCache>
            </c:strRef>
          </c:tx>
          <c:invertIfNegative val="0"/>
          <c:dLbls>
            <c:dLbl>
              <c:idx val="0"/>
              <c:layout>
                <c:manualLayout>
                  <c:x val="-7.462686567164179E-3"/>
                  <c:y val="1.0416666666666666E-2"/>
                </c:manualLayout>
              </c:layout>
              <c:showLegendKey val="0"/>
              <c:showVal val="1"/>
              <c:showCatName val="0"/>
              <c:showSerName val="0"/>
              <c:showPercent val="0"/>
              <c:showBubbleSize val="0"/>
            </c:dLbl>
            <c:dLbl>
              <c:idx val="1"/>
              <c:layout>
                <c:manualLayout>
                  <c:x val="-9.9502487562189053E-3"/>
                  <c:y val="0"/>
                </c:manualLayout>
              </c:layout>
              <c:showLegendKey val="0"/>
              <c:showVal val="1"/>
              <c:showCatName val="0"/>
              <c:showSerName val="0"/>
              <c:showPercent val="0"/>
              <c:showBubbleSize val="0"/>
            </c:dLbl>
            <c:dLbl>
              <c:idx val="2"/>
              <c:layout>
                <c:manualLayout>
                  <c:x val="-1.7412935323383085E-2"/>
                  <c:y val="-2.3871252015037487E-17"/>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2'!$J$4:$J$8</c:f>
              <c:numCache>
                <c:formatCode>0.0%</c:formatCode>
                <c:ptCount val="5"/>
                <c:pt idx="0">
                  <c:v>0.28000000000000003</c:v>
                </c:pt>
                <c:pt idx="1">
                  <c:v>0.25</c:v>
                </c:pt>
                <c:pt idx="2">
                  <c:v>0.24</c:v>
                </c:pt>
                <c:pt idx="3">
                  <c:v>0.20499999999999999</c:v>
                </c:pt>
                <c:pt idx="4">
                  <c:v>2.5000000000000001E-2</c:v>
                </c:pt>
              </c:numCache>
            </c:numRef>
          </c:val>
        </c:ser>
        <c:ser>
          <c:idx val="4"/>
          <c:order val="1"/>
          <c:tx>
            <c:strRef>
              <c:f>'Question 2'!$K$3</c:f>
              <c:strCache>
                <c:ptCount val="1"/>
                <c:pt idx="0">
                  <c:v>Feb-18</c:v>
                </c:pt>
              </c:strCache>
            </c:strRef>
          </c:tx>
          <c:invertIfNegative val="0"/>
          <c:dLbls>
            <c:dLbl>
              <c:idx val="0"/>
              <c:layout>
                <c:manualLayout>
                  <c:x val="0"/>
                  <c:y val="-1.562500000000001E-2"/>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2'!$K$4:$K$8</c:f>
              <c:numCache>
                <c:formatCode>0.0%</c:formatCode>
                <c:ptCount val="5"/>
                <c:pt idx="0">
                  <c:v>0.2928</c:v>
                </c:pt>
                <c:pt idx="1">
                  <c:v>0.24030000000000001</c:v>
                </c:pt>
                <c:pt idx="2">
                  <c:v>0.24030000000000001</c:v>
                </c:pt>
                <c:pt idx="3">
                  <c:v>0.185</c:v>
                </c:pt>
                <c:pt idx="4">
                  <c:v>4.1399999999999999E-2</c:v>
                </c:pt>
              </c:numCache>
            </c:numRef>
          </c:val>
        </c:ser>
        <c:ser>
          <c:idx val="0"/>
          <c:order val="2"/>
          <c:tx>
            <c:strRef>
              <c:f>'Question 2'!$L$3</c:f>
              <c:strCache>
                <c:ptCount val="1"/>
                <c:pt idx="0">
                  <c:v>Mar-18</c:v>
                </c:pt>
              </c:strCache>
            </c:strRef>
          </c:tx>
          <c:spPr>
            <a:solidFill>
              <a:srgbClr val="00B050"/>
            </a:solidFill>
          </c:spPr>
          <c:invertIfNegative val="0"/>
          <c:dLbls>
            <c:dLbl>
              <c:idx val="3"/>
              <c:layout>
                <c:manualLayout>
                  <c:x val="4.9751243781094526E-3"/>
                  <c:y val="0"/>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2'!$L$4:$L$8</c:f>
              <c:numCache>
                <c:formatCode>0%</c:formatCode>
                <c:ptCount val="5"/>
                <c:pt idx="0">
                  <c:v>0.28000000000000003</c:v>
                </c:pt>
                <c:pt idx="1">
                  <c:v>0.28000000000000003</c:v>
                </c:pt>
                <c:pt idx="2">
                  <c:v>0.26</c:v>
                </c:pt>
                <c:pt idx="3">
                  <c:v>0.154</c:v>
                </c:pt>
                <c:pt idx="4">
                  <c:v>2.3E-2</c:v>
                </c:pt>
              </c:numCache>
            </c:numRef>
          </c:val>
        </c:ser>
        <c:ser>
          <c:idx val="1"/>
          <c:order val="3"/>
          <c:tx>
            <c:strRef>
              <c:f>'Question 2'!$M$3</c:f>
              <c:strCache>
                <c:ptCount val="1"/>
                <c:pt idx="0">
                  <c:v>Apr-18</c:v>
                </c:pt>
              </c:strCache>
            </c:strRef>
          </c:tx>
          <c:invertIfNegative val="0"/>
          <c:dLbls>
            <c:dLbl>
              <c:idx val="1"/>
              <c:layout>
                <c:manualLayout>
                  <c:x val="1.2437810945273632E-2"/>
                  <c:y val="-5.2083333333333807E-3"/>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2'!$M$4:$M$8</c:f>
              <c:numCache>
                <c:formatCode>0%</c:formatCode>
                <c:ptCount val="5"/>
                <c:pt idx="0">
                  <c:v>0.31</c:v>
                </c:pt>
                <c:pt idx="1">
                  <c:v>0.23499999999999999</c:v>
                </c:pt>
                <c:pt idx="2">
                  <c:v>0.24</c:v>
                </c:pt>
                <c:pt idx="3">
                  <c:v>0.19</c:v>
                </c:pt>
                <c:pt idx="4">
                  <c:v>0.03</c:v>
                </c:pt>
              </c:numCache>
            </c:numRef>
          </c:val>
        </c:ser>
        <c:dLbls>
          <c:showLegendKey val="0"/>
          <c:showVal val="0"/>
          <c:showCatName val="0"/>
          <c:showSerName val="0"/>
          <c:showPercent val="0"/>
          <c:showBubbleSize val="0"/>
        </c:dLbls>
        <c:gapWidth val="150"/>
        <c:axId val="121755904"/>
        <c:axId val="126164992"/>
      </c:barChart>
      <c:catAx>
        <c:axId val="121755904"/>
        <c:scaling>
          <c:orientation val="minMax"/>
        </c:scaling>
        <c:delete val="0"/>
        <c:axPos val="b"/>
        <c:numFmt formatCode="General" sourceLinked="0"/>
        <c:majorTickMark val="out"/>
        <c:minorTickMark val="none"/>
        <c:tickLblPos val="nextTo"/>
        <c:crossAx val="126164992"/>
        <c:crosses val="autoZero"/>
        <c:auto val="1"/>
        <c:lblAlgn val="ctr"/>
        <c:lblOffset val="100"/>
        <c:noMultiLvlLbl val="0"/>
      </c:catAx>
      <c:valAx>
        <c:axId val="126164992"/>
        <c:scaling>
          <c:orientation val="minMax"/>
        </c:scaling>
        <c:delete val="0"/>
        <c:axPos val="l"/>
        <c:majorGridlines/>
        <c:numFmt formatCode="0%" sourceLinked="0"/>
        <c:majorTickMark val="out"/>
        <c:minorTickMark val="none"/>
        <c:tickLblPos val="nextTo"/>
        <c:crossAx val="121755904"/>
        <c:crosses val="autoZero"/>
        <c:crossBetween val="between"/>
      </c:valAx>
    </c:plotArea>
    <c:legend>
      <c:legendPos val="r"/>
      <c:layout>
        <c:manualLayout>
          <c:xMode val="edge"/>
          <c:yMode val="edge"/>
          <c:x val="0.8225521996317624"/>
          <c:y val="0.13442503280839896"/>
          <c:w val="0.1295489226637368"/>
          <c:h val="0.31415135608048994"/>
        </c:manualLayout>
      </c:layout>
      <c:overlay val="0"/>
    </c:legend>
    <c:plotVisOnly val="1"/>
    <c:dispBlanksAs val="gap"/>
    <c:showDLblsOverMax val="0"/>
  </c:chart>
  <c:spPr>
    <a:ln>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3"/>
          <c:order val="0"/>
          <c:tx>
            <c:strRef>
              <c:f>Question1!$J$3</c:f>
              <c:strCache>
                <c:ptCount val="1"/>
                <c:pt idx="0">
                  <c:v>Jan-18</c:v>
                </c:pt>
              </c:strCache>
            </c:strRef>
          </c:tx>
          <c:invertIfNegative val="0"/>
          <c:dLbls>
            <c:dLbl>
              <c:idx val="1"/>
              <c:layout>
                <c:manualLayout>
                  <c:x val="-4.5553576386173807E-3"/>
                  <c:y val="5.2289414281546295E-17"/>
                </c:manualLayout>
              </c:layout>
              <c:showLegendKey val="0"/>
              <c:showVal val="1"/>
              <c:showCatName val="0"/>
              <c:showSerName val="0"/>
              <c:showPercent val="0"/>
              <c:showBubbleSize val="0"/>
            </c:dLbl>
            <c:dLbl>
              <c:idx val="2"/>
              <c:layout>
                <c:manualLayout>
                  <c:x val="-9.1107152772347613E-3"/>
                  <c:y val="-5.2289414281546295E-17"/>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Question1!$J$4:$J$8</c:f>
              <c:numCache>
                <c:formatCode>0.00%</c:formatCode>
                <c:ptCount val="5"/>
                <c:pt idx="0">
                  <c:v>0.43</c:v>
                </c:pt>
                <c:pt idx="1">
                  <c:v>0.217</c:v>
                </c:pt>
                <c:pt idx="2">
                  <c:v>0.20799999999999999</c:v>
                </c:pt>
                <c:pt idx="3">
                  <c:v>0.10050000000000001</c:v>
                </c:pt>
                <c:pt idx="4">
                  <c:v>4.2999999999999997E-2</c:v>
                </c:pt>
              </c:numCache>
            </c:numRef>
          </c:val>
        </c:ser>
        <c:ser>
          <c:idx val="4"/>
          <c:order val="1"/>
          <c:tx>
            <c:strRef>
              <c:f>Question1!$K$3</c:f>
              <c:strCache>
                <c:ptCount val="1"/>
                <c:pt idx="0">
                  <c:v>Feb-18</c:v>
                </c:pt>
              </c:strCache>
            </c:strRef>
          </c:tx>
          <c:invertIfNegative val="0"/>
          <c:dLbls>
            <c:dLbl>
              <c:idx val="1"/>
              <c:layout>
                <c:manualLayout>
                  <c:x val="-4.1756962640663641E-17"/>
                  <c:y val="2.2817462545449644E-2"/>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Question1!$K$4:$K$8</c:f>
              <c:numCache>
                <c:formatCode>0.00%</c:formatCode>
                <c:ptCount val="5"/>
                <c:pt idx="0">
                  <c:v>0.45839999999999997</c:v>
                </c:pt>
                <c:pt idx="1">
                  <c:v>0.20730000000000001</c:v>
                </c:pt>
                <c:pt idx="2">
                  <c:v>0.21060000000000001</c:v>
                </c:pt>
                <c:pt idx="3">
                  <c:v>8.14E-2</c:v>
                </c:pt>
                <c:pt idx="4">
                  <c:v>4.2099999999999999E-2</c:v>
                </c:pt>
              </c:numCache>
            </c:numRef>
          </c:val>
        </c:ser>
        <c:ser>
          <c:idx val="0"/>
          <c:order val="2"/>
          <c:tx>
            <c:strRef>
              <c:f>Question1!$L$3</c:f>
              <c:strCache>
                <c:ptCount val="1"/>
                <c:pt idx="0">
                  <c:v>Mar-18</c:v>
                </c:pt>
              </c:strCache>
            </c:strRef>
          </c:tx>
          <c:spPr>
            <a:solidFill>
              <a:srgbClr val="00B050"/>
            </a:solidFill>
          </c:spPr>
          <c:invertIfNegative val="0"/>
          <c:dLbls>
            <c:dLbl>
              <c:idx val="2"/>
              <c:layout>
                <c:manualLayout>
                  <c:x val="-8.3513925281327282E-17"/>
                  <c:y val="1.7113096909087286E-2"/>
                </c:manualLayout>
              </c:layout>
              <c:showLegendKey val="0"/>
              <c:showVal val="1"/>
              <c:showCatName val="0"/>
              <c:showSerName val="0"/>
              <c:showPercent val="0"/>
              <c:showBubbleSize val="0"/>
            </c:dLbl>
            <c:numFmt formatCode="0%" sourceLinked="0"/>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Question1!$L$4:$L$8</c:f>
              <c:numCache>
                <c:formatCode>0.00%</c:formatCode>
                <c:ptCount val="5"/>
                <c:pt idx="0">
                  <c:v>0.44</c:v>
                </c:pt>
                <c:pt idx="1">
                  <c:v>0.23300000000000001</c:v>
                </c:pt>
                <c:pt idx="2">
                  <c:v>0.20200000000000001</c:v>
                </c:pt>
                <c:pt idx="3">
                  <c:v>9.2999999999999999E-2</c:v>
                </c:pt>
                <c:pt idx="4">
                  <c:v>3.2000000000000001E-2</c:v>
                </c:pt>
              </c:numCache>
            </c:numRef>
          </c:val>
        </c:ser>
        <c:ser>
          <c:idx val="1"/>
          <c:order val="3"/>
          <c:tx>
            <c:strRef>
              <c:f>Question1!$M$3</c:f>
              <c:strCache>
                <c:ptCount val="1"/>
                <c:pt idx="0">
                  <c:v>Apr-18</c:v>
                </c:pt>
              </c:strCache>
            </c:strRef>
          </c:tx>
          <c:invertIfNegative val="0"/>
          <c:dLbls>
            <c:dLbl>
              <c:idx val="1"/>
              <c:layout>
                <c:manualLayout>
                  <c:x val="9.1107152772346781E-3"/>
                  <c:y val="-5.2289414281546295E-17"/>
                </c:manualLayout>
              </c:layout>
              <c:showLegendKey val="0"/>
              <c:showVal val="1"/>
              <c:showCatName val="0"/>
              <c:showSerName val="0"/>
              <c:showPercent val="0"/>
              <c:showBubbleSize val="0"/>
            </c:dLbl>
            <c:dLbl>
              <c:idx val="2"/>
              <c:layout>
                <c:manualLayout>
                  <c:x val="1.1388394096543452E-2"/>
                  <c:y val="0"/>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Question1!$M$4:$M$8</c:f>
              <c:numCache>
                <c:formatCode>0%</c:formatCode>
                <c:ptCount val="5"/>
                <c:pt idx="0">
                  <c:v>0.41</c:v>
                </c:pt>
                <c:pt idx="1">
                  <c:v>0.23100000000000001</c:v>
                </c:pt>
                <c:pt idx="2">
                  <c:v>0.224</c:v>
                </c:pt>
                <c:pt idx="3">
                  <c:v>0.10299999999999999</c:v>
                </c:pt>
                <c:pt idx="4">
                  <c:v>3.2000000000000001E-2</c:v>
                </c:pt>
              </c:numCache>
            </c:numRef>
          </c:val>
        </c:ser>
        <c:dLbls>
          <c:showLegendKey val="0"/>
          <c:showVal val="0"/>
          <c:showCatName val="0"/>
          <c:showSerName val="0"/>
          <c:showPercent val="0"/>
          <c:showBubbleSize val="0"/>
        </c:dLbls>
        <c:gapWidth val="150"/>
        <c:axId val="126184448"/>
        <c:axId val="126214912"/>
      </c:barChart>
      <c:catAx>
        <c:axId val="126184448"/>
        <c:scaling>
          <c:orientation val="minMax"/>
        </c:scaling>
        <c:delete val="0"/>
        <c:axPos val="b"/>
        <c:numFmt formatCode="General" sourceLinked="0"/>
        <c:majorTickMark val="out"/>
        <c:minorTickMark val="none"/>
        <c:tickLblPos val="nextTo"/>
        <c:txPr>
          <a:bodyPr/>
          <a:lstStyle/>
          <a:p>
            <a:pPr>
              <a:defRPr sz="900"/>
            </a:pPr>
            <a:endParaRPr lang="en-US"/>
          </a:p>
        </c:txPr>
        <c:crossAx val="126214912"/>
        <c:crosses val="autoZero"/>
        <c:auto val="1"/>
        <c:lblAlgn val="ctr"/>
        <c:lblOffset val="100"/>
        <c:noMultiLvlLbl val="0"/>
      </c:catAx>
      <c:valAx>
        <c:axId val="126214912"/>
        <c:scaling>
          <c:orientation val="minMax"/>
        </c:scaling>
        <c:delete val="0"/>
        <c:axPos val="l"/>
        <c:majorGridlines/>
        <c:numFmt formatCode="0%" sourceLinked="0"/>
        <c:majorTickMark val="out"/>
        <c:minorTickMark val="none"/>
        <c:tickLblPos val="nextTo"/>
        <c:crossAx val="126184448"/>
        <c:crosses val="autoZero"/>
        <c:crossBetween val="between"/>
      </c:valAx>
    </c:plotArea>
    <c:legend>
      <c:legendPos val="r"/>
      <c:layout>
        <c:manualLayout>
          <c:xMode val="edge"/>
          <c:yMode val="edge"/>
          <c:x val="0.71214588801399825"/>
          <c:y val="8.3499198016914564E-2"/>
          <c:w val="0.10474639388025214"/>
          <c:h val="0.29375191737396461"/>
        </c:manualLayout>
      </c:layout>
      <c:overlay val="0"/>
    </c:legend>
    <c:plotVisOnly val="1"/>
    <c:dispBlanksAs val="gap"/>
    <c:showDLblsOverMax val="0"/>
  </c:chart>
  <c:spPr>
    <a:ln>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1C772-B2D0-470C-8844-C8CF0B04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5</cp:revision>
  <cp:lastPrinted>2018-06-03T07:57:00Z</cp:lastPrinted>
  <dcterms:created xsi:type="dcterms:W3CDTF">2018-06-04T08:54:00Z</dcterms:created>
  <dcterms:modified xsi:type="dcterms:W3CDTF">2018-06-04T09:05:00Z</dcterms:modified>
</cp:coreProperties>
</file>