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E0E27F" w14:textId="77777777" w:rsidR="00211F50" w:rsidRDefault="00211F50" w:rsidP="00C32EC0">
      <w:pPr>
        <w:spacing w:after="0" w:line="240" w:lineRule="auto"/>
        <w:jc w:val="center"/>
        <w:rPr>
          <w:rFonts w:ascii="Times New Roman" w:eastAsia="Times New Roman" w:hAnsi="Times New Roman" w:cs="Times New Roman"/>
          <w:b/>
          <w:color w:val="222222"/>
          <w:sz w:val="28"/>
          <w:szCs w:val="28"/>
          <w:shd w:val="clear" w:color="auto" w:fill="FFFFFF"/>
          <w:lang w:val="en-GB" w:eastAsia="en-GB"/>
        </w:rPr>
      </w:pPr>
    </w:p>
    <w:p w14:paraId="6DC1176B" w14:textId="77777777" w:rsidR="00211F50" w:rsidRDefault="00211F50" w:rsidP="00211F50">
      <w:pPr>
        <w:spacing w:after="0" w:line="240" w:lineRule="auto"/>
        <w:jc w:val="center"/>
        <w:rPr>
          <w:rFonts w:ascii="Times New Roman" w:eastAsia="Times New Roman" w:hAnsi="Times New Roman" w:cs="Times New Roman"/>
          <w:b/>
          <w:color w:val="222222"/>
          <w:sz w:val="28"/>
          <w:szCs w:val="28"/>
          <w:shd w:val="clear" w:color="auto" w:fill="FFFFFF"/>
          <w:lang w:val="en-GB" w:eastAsia="en-GB"/>
        </w:rPr>
      </w:pPr>
      <w:r>
        <w:rPr>
          <w:rFonts w:ascii="Times New Roman" w:eastAsia="Times New Roman" w:hAnsi="Times New Roman" w:cs="Times New Roman"/>
          <w:b/>
          <w:noProof/>
          <w:color w:val="222222"/>
          <w:sz w:val="28"/>
          <w:szCs w:val="28"/>
          <w:shd w:val="clear" w:color="auto" w:fill="FFFFFF"/>
          <w:lang w:eastAsia="en-IN"/>
        </w:rPr>
        <w:drawing>
          <wp:inline distT="0" distB="0" distL="0" distR="0" wp14:anchorId="683478B1" wp14:editId="40071583">
            <wp:extent cx="902335" cy="908685"/>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2335" cy="908685"/>
                    </a:xfrm>
                    <a:prstGeom prst="rect">
                      <a:avLst/>
                    </a:prstGeom>
                    <a:noFill/>
                  </pic:spPr>
                </pic:pic>
              </a:graphicData>
            </a:graphic>
          </wp:inline>
        </w:drawing>
      </w:r>
    </w:p>
    <w:p w14:paraId="23AC656D" w14:textId="77777777" w:rsidR="00211F50" w:rsidRDefault="00211F50" w:rsidP="00211F50">
      <w:pPr>
        <w:spacing w:after="0" w:line="240" w:lineRule="auto"/>
        <w:jc w:val="center"/>
        <w:rPr>
          <w:rFonts w:ascii="Times New Roman" w:eastAsia="Times New Roman" w:hAnsi="Times New Roman" w:cs="Times New Roman"/>
          <w:b/>
          <w:color w:val="222222"/>
          <w:sz w:val="28"/>
          <w:szCs w:val="28"/>
          <w:shd w:val="clear" w:color="auto" w:fill="FFFFFF"/>
          <w:lang w:val="en-GB" w:eastAsia="en-GB"/>
        </w:rPr>
      </w:pPr>
    </w:p>
    <w:p w14:paraId="27BBBC53" w14:textId="77777777" w:rsidR="00211F50" w:rsidRPr="00F5494B" w:rsidRDefault="00211F50" w:rsidP="00211F50">
      <w:pPr>
        <w:spacing w:after="0" w:line="240" w:lineRule="auto"/>
        <w:jc w:val="center"/>
        <w:rPr>
          <w:rFonts w:ascii="Times New Roman" w:eastAsia="Times New Roman" w:hAnsi="Times New Roman" w:cs="Times New Roman"/>
          <w:color w:val="263238"/>
          <w:sz w:val="28"/>
          <w:szCs w:val="28"/>
          <w:u w:val="single"/>
          <w:shd w:val="clear" w:color="auto" w:fill="FFFFFF"/>
        </w:rPr>
      </w:pPr>
      <w:r w:rsidRPr="00A90CE8">
        <w:rPr>
          <w:rFonts w:ascii="Times New Roman" w:eastAsia="Times New Roman" w:hAnsi="Times New Roman" w:cs="Times New Roman"/>
          <w:color w:val="263238"/>
          <w:sz w:val="28"/>
          <w:szCs w:val="28"/>
          <w:u w:val="single"/>
          <w:shd w:val="clear" w:color="auto" w:fill="FFFFFF"/>
        </w:rPr>
        <w:t>Press Release</w:t>
      </w:r>
    </w:p>
    <w:p w14:paraId="206C1728" w14:textId="77777777" w:rsidR="00211F50" w:rsidRDefault="00211F50" w:rsidP="00C32EC0">
      <w:pPr>
        <w:spacing w:after="0" w:line="240" w:lineRule="auto"/>
        <w:jc w:val="center"/>
        <w:rPr>
          <w:rFonts w:ascii="Times New Roman" w:eastAsia="Times New Roman" w:hAnsi="Times New Roman" w:cs="Times New Roman"/>
          <w:b/>
          <w:color w:val="222222"/>
          <w:sz w:val="28"/>
          <w:szCs w:val="28"/>
          <w:shd w:val="clear" w:color="auto" w:fill="FFFFFF"/>
          <w:lang w:val="en-GB" w:eastAsia="en-GB"/>
        </w:rPr>
      </w:pPr>
    </w:p>
    <w:p w14:paraId="4474D098" w14:textId="3A274157" w:rsidR="00360057" w:rsidRPr="00FD534D" w:rsidRDefault="00925659" w:rsidP="00C32EC0">
      <w:pPr>
        <w:spacing w:after="0" w:line="240" w:lineRule="auto"/>
        <w:jc w:val="center"/>
        <w:rPr>
          <w:rFonts w:ascii="Times New Roman" w:eastAsia="Times New Roman" w:hAnsi="Times New Roman" w:cs="Times New Roman"/>
          <w:b/>
          <w:color w:val="222222"/>
          <w:sz w:val="28"/>
          <w:szCs w:val="28"/>
          <w:shd w:val="clear" w:color="auto" w:fill="FFFFFF"/>
          <w:lang w:val="en-GB" w:eastAsia="en-GB"/>
        </w:rPr>
      </w:pPr>
      <w:r w:rsidRPr="00FD534D">
        <w:rPr>
          <w:rFonts w:ascii="Times New Roman" w:eastAsia="Times New Roman" w:hAnsi="Times New Roman" w:cs="Times New Roman"/>
          <w:b/>
          <w:color w:val="222222"/>
          <w:sz w:val="28"/>
          <w:szCs w:val="28"/>
          <w:shd w:val="clear" w:color="auto" w:fill="FFFFFF"/>
          <w:lang w:val="en-GB" w:eastAsia="en-GB"/>
        </w:rPr>
        <w:t>Business Inflation Expectations Survey (BIES)</w:t>
      </w:r>
      <w:r w:rsidR="00B96C5A" w:rsidRPr="00FD534D">
        <w:rPr>
          <w:rFonts w:ascii="Times New Roman" w:eastAsia="Times New Roman" w:hAnsi="Times New Roman" w:cs="Times New Roman"/>
          <w:b/>
          <w:color w:val="222222"/>
          <w:sz w:val="28"/>
          <w:szCs w:val="28"/>
          <w:shd w:val="clear" w:color="auto" w:fill="FFFFFF"/>
          <w:lang w:val="en-GB" w:eastAsia="en-GB"/>
        </w:rPr>
        <w:t xml:space="preserve"> – </w:t>
      </w:r>
      <w:r w:rsidR="00E35688">
        <w:rPr>
          <w:rFonts w:ascii="Times New Roman" w:eastAsia="Times New Roman" w:hAnsi="Times New Roman" w:cs="Times New Roman"/>
          <w:b/>
          <w:color w:val="222222"/>
          <w:sz w:val="28"/>
          <w:szCs w:val="28"/>
          <w:shd w:val="clear" w:color="auto" w:fill="FFFFFF"/>
          <w:lang w:val="en-GB" w:eastAsia="en-GB"/>
        </w:rPr>
        <w:t>August</w:t>
      </w:r>
      <w:r w:rsidR="00C6596E">
        <w:rPr>
          <w:rFonts w:ascii="Times New Roman" w:eastAsia="Times New Roman" w:hAnsi="Times New Roman" w:cs="Times New Roman"/>
          <w:b/>
          <w:color w:val="222222"/>
          <w:sz w:val="28"/>
          <w:szCs w:val="28"/>
          <w:shd w:val="clear" w:color="auto" w:fill="FFFFFF"/>
          <w:lang w:val="en-GB" w:eastAsia="en-GB"/>
        </w:rPr>
        <w:t xml:space="preserve"> 2020</w:t>
      </w:r>
    </w:p>
    <w:p w14:paraId="1D3B2346" w14:textId="005BE4EE" w:rsidR="00FC49EB" w:rsidRPr="00B51681" w:rsidRDefault="00FC49EB" w:rsidP="00C32EC0">
      <w:pPr>
        <w:spacing w:after="0" w:line="240" w:lineRule="auto"/>
        <w:jc w:val="both"/>
        <w:rPr>
          <w:rFonts w:ascii="Times New Roman" w:hAnsi="Times New Roman" w:cs="Times New Roman"/>
        </w:rPr>
      </w:pPr>
    </w:p>
    <w:p w14:paraId="50A808AE" w14:textId="1A227D64" w:rsidR="00211F50" w:rsidRPr="00211F50" w:rsidRDefault="00211F50" w:rsidP="00211F50">
      <w:pPr>
        <w:spacing w:after="160" w:line="256" w:lineRule="auto"/>
        <w:jc w:val="both"/>
        <w:rPr>
          <w:rFonts w:ascii="Times New Roman" w:eastAsia="Times New Roman" w:hAnsi="Times New Roman" w:cs="Times New Roman"/>
          <w:b/>
        </w:rPr>
      </w:pPr>
      <w:r>
        <w:rPr>
          <w:rFonts w:ascii="Times New Roman" w:hAnsi="Times New Roman" w:cs="Times New Roman"/>
          <w:b/>
        </w:rPr>
        <w:t>October</w:t>
      </w:r>
      <w:r w:rsidRPr="00CE6B69">
        <w:rPr>
          <w:rFonts w:ascii="Times New Roman" w:eastAsia="Times New Roman" w:hAnsi="Times New Roman" w:cs="Times New Roman"/>
          <w:b/>
        </w:rPr>
        <w:t xml:space="preserve"> </w:t>
      </w:r>
      <w:r>
        <w:rPr>
          <w:rFonts w:ascii="Times New Roman" w:eastAsia="Times New Roman" w:hAnsi="Times New Roman" w:cs="Times New Roman"/>
          <w:b/>
        </w:rPr>
        <w:t>6</w:t>
      </w:r>
      <w:r w:rsidRPr="00CE6B69">
        <w:rPr>
          <w:rFonts w:ascii="Times New Roman" w:eastAsia="Times New Roman" w:hAnsi="Times New Roman" w:cs="Times New Roman"/>
          <w:b/>
        </w:rPr>
        <w:t>, 2020 | Ahmedabad</w:t>
      </w:r>
    </w:p>
    <w:p w14:paraId="20FD9158" w14:textId="77777777" w:rsidR="00211F50" w:rsidRDefault="00211F50" w:rsidP="00211F50">
      <w:pPr>
        <w:spacing w:after="0" w:line="240" w:lineRule="auto"/>
        <w:jc w:val="both"/>
        <w:rPr>
          <w:rFonts w:ascii="Times New Roman" w:hAnsi="Times New Roman" w:cs="Times New Roman"/>
          <w:sz w:val="20"/>
          <w:szCs w:val="20"/>
          <w:lang w:eastAsia="en-IN"/>
        </w:rPr>
      </w:pPr>
    </w:p>
    <w:p w14:paraId="27C23F2E" w14:textId="0403CDDF" w:rsidR="00211F50" w:rsidRPr="008C3AB6" w:rsidRDefault="00211F50" w:rsidP="00211F50">
      <w:pPr>
        <w:spacing w:after="0" w:line="240" w:lineRule="auto"/>
        <w:jc w:val="both"/>
        <w:rPr>
          <w:rFonts w:ascii="Times New Roman" w:hAnsi="Times New Roman" w:cs="Times New Roman"/>
          <w:bCs/>
          <w:lang w:val="en-US"/>
        </w:rPr>
      </w:pPr>
      <w:r w:rsidRPr="008C3AB6">
        <w:rPr>
          <w:rFonts w:ascii="Times New Roman" w:hAnsi="Times New Roman" w:cs="Times New Roman"/>
          <w:bCs/>
          <w:lang w:val="en-US"/>
        </w:rPr>
        <w:t xml:space="preserve">The Business Inflation Expectations Survey (BIES) provides ways to examine the amount of slack in the economy by polling a panel of business leaders about their inflation expectations in the short and medium term. This monthly survey asks questions about year-ahead cost expectations and the factors influencing price changes, such as profit, sales levels, etc. The survey is unique in that it goes straight to businesses - the price setters - rather than to consumers or households, to understand their expectations of the price level changes. One major advantage of BIES is that one can get a probabilistic assessment of inflation expectations and thus get a measure of uncertainty. It also provides an indirect assessment of overall demand condition of the economy. Results of this Survey are, therefore, useful in understanding the inflation expectations of businesses and complement other macro data required for policy making. With this objective, the BIES was introduced at IIMA from May 2017. The questionnaire of BIES is finalized based on the detailed feedback received from the industry, academicians and policy makers. A copy of the questionnaire is enclosed. </w:t>
      </w:r>
    </w:p>
    <w:p w14:paraId="61FE9AE1" w14:textId="77777777" w:rsidR="00211F50" w:rsidRPr="008C3AB6" w:rsidRDefault="00211F50" w:rsidP="00211F50">
      <w:pPr>
        <w:spacing w:after="0" w:line="240" w:lineRule="auto"/>
        <w:jc w:val="both"/>
        <w:rPr>
          <w:rFonts w:ascii="Times New Roman" w:hAnsi="Times New Roman" w:cs="Times New Roman"/>
          <w:bCs/>
          <w:lang w:val="en-US"/>
        </w:rPr>
      </w:pPr>
    </w:p>
    <w:p w14:paraId="1B2DF517" w14:textId="766B0DF8" w:rsidR="00211F50" w:rsidRPr="008C3AB6" w:rsidRDefault="00211F50" w:rsidP="00C32EC0">
      <w:pPr>
        <w:spacing w:after="0" w:line="240" w:lineRule="auto"/>
        <w:rPr>
          <w:rFonts w:ascii="Times New Roman" w:hAnsi="Times New Roman" w:cs="Times New Roman"/>
          <w:bCs/>
          <w:lang w:val="en-US"/>
        </w:rPr>
      </w:pPr>
      <w:r w:rsidRPr="008C3AB6">
        <w:rPr>
          <w:rFonts w:ascii="Times New Roman" w:hAnsi="Times New Roman" w:cs="Times New Roman"/>
          <w:bCs/>
          <w:lang w:val="en-US"/>
        </w:rPr>
        <w:t>Companies are selected primarily from the manufacturing sector. The “BIES - August 2020” is the 40th round of the Survey. These results are based on the responses of around 1100 companies.</w:t>
      </w:r>
    </w:p>
    <w:p w14:paraId="676A14EF" w14:textId="77777777" w:rsidR="00211F50" w:rsidRDefault="00211F50" w:rsidP="00C32EC0">
      <w:pPr>
        <w:spacing w:after="0" w:line="240" w:lineRule="auto"/>
        <w:rPr>
          <w:rFonts w:ascii="Times New Roman" w:hAnsi="Times New Roman" w:cs="Times New Roman"/>
          <w:b/>
        </w:rPr>
      </w:pPr>
    </w:p>
    <w:p w14:paraId="354A3479" w14:textId="4D2033A5" w:rsidR="001D09C4" w:rsidRDefault="00961726" w:rsidP="00C32EC0">
      <w:pPr>
        <w:spacing w:after="0" w:line="240" w:lineRule="auto"/>
        <w:rPr>
          <w:rFonts w:ascii="Times New Roman" w:hAnsi="Times New Roman" w:cs="Times New Roman"/>
          <w:b/>
        </w:rPr>
      </w:pPr>
      <w:r>
        <w:rPr>
          <w:rFonts w:ascii="Times New Roman" w:hAnsi="Times New Roman" w:cs="Times New Roman"/>
          <w:b/>
        </w:rPr>
        <w:t xml:space="preserve">A. </w:t>
      </w:r>
      <w:r w:rsidR="001D09C4" w:rsidRPr="00C81AC1">
        <w:rPr>
          <w:rFonts w:ascii="Times New Roman" w:hAnsi="Times New Roman" w:cs="Times New Roman"/>
          <w:b/>
        </w:rPr>
        <w:t>Inflation expectation</w:t>
      </w:r>
      <w:r w:rsidR="004A5ABA">
        <w:rPr>
          <w:rFonts w:ascii="Times New Roman" w:hAnsi="Times New Roman" w:cs="Times New Roman"/>
          <w:b/>
        </w:rPr>
        <w:t>s</w:t>
      </w:r>
    </w:p>
    <w:p w14:paraId="705C3A72" w14:textId="77777777" w:rsidR="00FC49EB" w:rsidRPr="00C81AC1" w:rsidRDefault="00FC49EB" w:rsidP="00C32EC0">
      <w:pPr>
        <w:spacing w:after="0" w:line="240" w:lineRule="auto"/>
        <w:rPr>
          <w:rFonts w:ascii="Times New Roman" w:hAnsi="Times New Roman" w:cs="Times New Roman"/>
          <w:b/>
        </w:rPr>
      </w:pPr>
    </w:p>
    <w:p w14:paraId="306CF0B5" w14:textId="575C97BF" w:rsidR="00435AC3" w:rsidRPr="00EB118F" w:rsidRDefault="00435AC3" w:rsidP="00EB1D74">
      <w:pPr>
        <w:pStyle w:val="ListParagraph"/>
        <w:numPr>
          <w:ilvl w:val="0"/>
          <w:numId w:val="11"/>
        </w:numPr>
        <w:spacing w:after="0" w:line="240" w:lineRule="auto"/>
        <w:jc w:val="both"/>
        <w:rPr>
          <w:rFonts w:ascii="Arial" w:eastAsia="Times New Roman" w:hAnsi="Arial" w:cs="Arial"/>
          <w:b/>
          <w:color w:val="222222"/>
          <w:sz w:val="32"/>
          <w:szCs w:val="32"/>
          <w:shd w:val="clear" w:color="auto" w:fill="FFFFFF"/>
          <w:lang w:val="en-GB" w:eastAsia="en-GB"/>
        </w:rPr>
      </w:pPr>
      <w:r w:rsidRPr="008D6D83">
        <w:rPr>
          <w:rFonts w:ascii="Times New Roman" w:hAnsi="Times New Roman" w:cs="Times New Roman"/>
          <w:bCs/>
        </w:rPr>
        <w:t>One year ahead business inflation expectation</w:t>
      </w:r>
      <w:r w:rsidR="00954378">
        <w:rPr>
          <w:rFonts w:ascii="Times New Roman" w:hAnsi="Times New Roman" w:cs="Times New Roman"/>
          <w:bCs/>
        </w:rPr>
        <w:t>s</w:t>
      </w:r>
      <w:r w:rsidR="003268A4">
        <w:rPr>
          <w:rFonts w:ascii="Times New Roman" w:hAnsi="Times New Roman" w:cs="Times New Roman"/>
          <w:bCs/>
        </w:rPr>
        <w:t xml:space="preserve"> in </w:t>
      </w:r>
      <w:r w:rsidR="00231C31">
        <w:rPr>
          <w:rFonts w:ascii="Times New Roman" w:hAnsi="Times New Roman" w:cs="Times New Roman"/>
          <w:bCs/>
        </w:rPr>
        <w:t>August</w:t>
      </w:r>
      <w:r w:rsidR="003268A4">
        <w:rPr>
          <w:rFonts w:ascii="Times New Roman" w:hAnsi="Times New Roman" w:cs="Times New Roman"/>
          <w:bCs/>
        </w:rPr>
        <w:t xml:space="preserve"> 2020</w:t>
      </w:r>
      <w:r w:rsidRPr="008D6D83">
        <w:rPr>
          <w:rFonts w:ascii="Times New Roman" w:hAnsi="Times New Roman" w:cs="Times New Roman"/>
          <w:bCs/>
        </w:rPr>
        <w:t xml:space="preserve">, as estimated from the mean </w:t>
      </w:r>
      <w:r>
        <w:rPr>
          <w:rFonts w:ascii="Times New Roman" w:hAnsi="Times New Roman" w:cs="Times New Roman"/>
          <w:bCs/>
        </w:rPr>
        <w:t xml:space="preserve">of individual </w:t>
      </w:r>
      <w:r w:rsidRPr="008D6D83">
        <w:rPr>
          <w:rFonts w:ascii="Times New Roman" w:hAnsi="Times New Roman" w:cs="Times New Roman"/>
          <w:bCs/>
        </w:rPr>
        <w:t>probability distribution of unit cost increase</w:t>
      </w:r>
      <w:r>
        <w:rPr>
          <w:rFonts w:ascii="Times New Roman" w:hAnsi="Times New Roman" w:cs="Times New Roman"/>
          <w:bCs/>
        </w:rPr>
        <w:t>, ha</w:t>
      </w:r>
      <w:r w:rsidR="00BA11D9">
        <w:rPr>
          <w:rFonts w:ascii="Times New Roman" w:hAnsi="Times New Roman" w:cs="Times New Roman"/>
          <w:bCs/>
        </w:rPr>
        <w:t>ve</w:t>
      </w:r>
      <w:r>
        <w:rPr>
          <w:rFonts w:ascii="Times New Roman" w:hAnsi="Times New Roman" w:cs="Times New Roman"/>
          <w:bCs/>
        </w:rPr>
        <w:t xml:space="preserve"> </w:t>
      </w:r>
      <w:r w:rsidR="00745969">
        <w:rPr>
          <w:rFonts w:ascii="Times New Roman" w:hAnsi="Times New Roman" w:cs="Times New Roman"/>
          <w:bCs/>
        </w:rPr>
        <w:t xml:space="preserve">witnessed a marginal </w:t>
      </w:r>
      <w:r w:rsidR="009C3663">
        <w:rPr>
          <w:rFonts w:ascii="Times New Roman" w:hAnsi="Times New Roman" w:cs="Times New Roman"/>
          <w:bCs/>
        </w:rPr>
        <w:t>uptick</w:t>
      </w:r>
      <w:r w:rsidR="00DB3B95">
        <w:rPr>
          <w:rFonts w:ascii="Times New Roman" w:hAnsi="Times New Roman" w:cs="Times New Roman"/>
          <w:bCs/>
        </w:rPr>
        <w:t xml:space="preserve"> </w:t>
      </w:r>
      <w:r w:rsidR="00E914D9">
        <w:rPr>
          <w:rFonts w:ascii="Times New Roman" w:hAnsi="Times New Roman" w:cs="Times New Roman"/>
          <w:bCs/>
        </w:rPr>
        <w:t xml:space="preserve">by </w:t>
      </w:r>
      <w:r w:rsidR="009C3663">
        <w:rPr>
          <w:rFonts w:ascii="Times New Roman" w:hAnsi="Times New Roman" w:cs="Times New Roman"/>
          <w:bCs/>
        </w:rPr>
        <w:t>7</w:t>
      </w:r>
      <w:r w:rsidR="00E914D9">
        <w:rPr>
          <w:rFonts w:ascii="Times New Roman" w:hAnsi="Times New Roman" w:cs="Times New Roman"/>
          <w:bCs/>
        </w:rPr>
        <w:t xml:space="preserve"> basis points to </w:t>
      </w:r>
      <w:r w:rsidR="004D79CC">
        <w:rPr>
          <w:rFonts w:ascii="Times New Roman" w:hAnsi="Times New Roman" w:cs="Times New Roman"/>
          <w:bCs/>
        </w:rPr>
        <w:t>3.7</w:t>
      </w:r>
      <w:r w:rsidR="009C3663">
        <w:rPr>
          <w:rFonts w:ascii="Times New Roman" w:hAnsi="Times New Roman" w:cs="Times New Roman"/>
          <w:bCs/>
        </w:rPr>
        <w:t>7</w:t>
      </w:r>
      <w:r w:rsidR="00DB3B95">
        <w:rPr>
          <w:rFonts w:ascii="Times New Roman" w:hAnsi="Times New Roman" w:cs="Times New Roman"/>
          <w:bCs/>
        </w:rPr>
        <w:t xml:space="preserve">% </w:t>
      </w:r>
      <w:r w:rsidR="00E914D9">
        <w:rPr>
          <w:rFonts w:ascii="Times New Roman" w:hAnsi="Times New Roman" w:cs="Times New Roman"/>
          <w:bCs/>
        </w:rPr>
        <w:t xml:space="preserve">from </w:t>
      </w:r>
      <w:r w:rsidR="009C3663">
        <w:rPr>
          <w:rFonts w:ascii="Times New Roman" w:hAnsi="Times New Roman" w:cs="Times New Roman"/>
          <w:bCs/>
        </w:rPr>
        <w:t>3.70</w:t>
      </w:r>
      <w:r w:rsidR="00DB3B95">
        <w:rPr>
          <w:rFonts w:ascii="Times New Roman" w:hAnsi="Times New Roman" w:cs="Times New Roman"/>
          <w:bCs/>
        </w:rPr>
        <w:t xml:space="preserve">% </w:t>
      </w:r>
      <w:r w:rsidR="00472BB9">
        <w:rPr>
          <w:rFonts w:ascii="Times New Roman" w:hAnsi="Times New Roman" w:cs="Times New Roman"/>
          <w:bCs/>
        </w:rPr>
        <w:t xml:space="preserve">reported </w:t>
      </w:r>
      <w:r w:rsidR="002E0B96">
        <w:rPr>
          <w:rFonts w:ascii="Times New Roman" w:hAnsi="Times New Roman" w:cs="Times New Roman"/>
          <w:bCs/>
        </w:rPr>
        <w:t xml:space="preserve">in </w:t>
      </w:r>
      <w:r w:rsidR="004D79CC">
        <w:rPr>
          <w:rFonts w:ascii="Times New Roman" w:hAnsi="Times New Roman" w:cs="Times New Roman"/>
          <w:bCs/>
        </w:rPr>
        <w:t>Ju</w:t>
      </w:r>
      <w:r w:rsidR="009C3663">
        <w:rPr>
          <w:rFonts w:ascii="Times New Roman" w:hAnsi="Times New Roman" w:cs="Times New Roman"/>
          <w:bCs/>
        </w:rPr>
        <w:t>ly</w:t>
      </w:r>
      <w:r w:rsidR="002E0B96">
        <w:rPr>
          <w:rFonts w:ascii="Times New Roman" w:hAnsi="Times New Roman" w:cs="Times New Roman"/>
          <w:bCs/>
        </w:rPr>
        <w:t xml:space="preserve"> 2020</w:t>
      </w:r>
      <w:r w:rsidR="000F4528">
        <w:rPr>
          <w:rFonts w:ascii="Times New Roman" w:hAnsi="Times New Roman" w:cs="Times New Roman"/>
          <w:bCs/>
        </w:rPr>
        <w:t>.</w:t>
      </w:r>
      <w:r w:rsidR="00637E4F">
        <w:rPr>
          <w:rFonts w:ascii="Times New Roman" w:hAnsi="Times New Roman" w:cs="Times New Roman"/>
          <w:bCs/>
        </w:rPr>
        <w:t xml:space="preserve"> </w:t>
      </w:r>
      <w:r w:rsidRPr="00EB118F">
        <w:rPr>
          <w:rFonts w:ascii="Times New Roman" w:hAnsi="Times New Roman" w:cs="Times New Roman"/>
          <w:bCs/>
        </w:rPr>
        <w:t xml:space="preserve">Trajectory of one year ahead business inflation expectations is presented </w:t>
      </w:r>
      <w:r>
        <w:rPr>
          <w:rFonts w:ascii="Times New Roman" w:hAnsi="Times New Roman" w:cs="Times New Roman"/>
          <w:bCs/>
        </w:rPr>
        <w:t>in</w:t>
      </w:r>
      <w:r w:rsidRPr="00EB118F">
        <w:rPr>
          <w:rFonts w:ascii="Times New Roman" w:hAnsi="Times New Roman" w:cs="Times New Roman"/>
          <w:bCs/>
        </w:rPr>
        <w:t xml:space="preserve"> Chart 1.  </w:t>
      </w:r>
    </w:p>
    <w:p w14:paraId="5E5B2638" w14:textId="77777777" w:rsidR="00435AC3" w:rsidRPr="00FC49EB" w:rsidRDefault="00435AC3" w:rsidP="00C32EC0">
      <w:pPr>
        <w:pStyle w:val="ListParagraph"/>
        <w:spacing w:after="0" w:line="240" w:lineRule="auto"/>
        <w:jc w:val="both"/>
        <w:rPr>
          <w:rFonts w:ascii="Times New Roman" w:eastAsia="Times New Roman" w:hAnsi="Times New Roman" w:cs="Times New Roman"/>
          <w:b/>
          <w:color w:val="222222"/>
          <w:shd w:val="clear" w:color="auto" w:fill="FFFFFF"/>
          <w:lang w:val="en-GB" w:eastAsia="en-GB"/>
        </w:rPr>
      </w:pPr>
    </w:p>
    <w:p w14:paraId="69D623B5" w14:textId="4EB2FF54" w:rsidR="00435AC3" w:rsidRPr="000F5617" w:rsidRDefault="00435AC3" w:rsidP="00C32EC0">
      <w:pPr>
        <w:pStyle w:val="ListParagraph"/>
        <w:numPr>
          <w:ilvl w:val="0"/>
          <w:numId w:val="11"/>
        </w:numPr>
        <w:spacing w:after="0" w:line="240" w:lineRule="auto"/>
        <w:jc w:val="both"/>
        <w:rPr>
          <w:rFonts w:ascii="Arial" w:eastAsia="Times New Roman" w:hAnsi="Arial" w:cs="Arial"/>
          <w:b/>
          <w:color w:val="222222"/>
          <w:sz w:val="32"/>
          <w:szCs w:val="32"/>
          <w:shd w:val="clear" w:color="auto" w:fill="FFFFFF"/>
          <w:lang w:val="en-GB" w:eastAsia="en-GB"/>
        </w:rPr>
      </w:pPr>
      <w:r w:rsidRPr="00FC49EB">
        <w:rPr>
          <w:rFonts w:ascii="Times New Roman" w:hAnsi="Times New Roman" w:cs="Times New Roman"/>
          <w:bCs/>
        </w:rPr>
        <w:t>Uncertainty of business inflation expectation</w:t>
      </w:r>
      <w:r w:rsidR="00954378">
        <w:rPr>
          <w:rFonts w:ascii="Times New Roman" w:hAnsi="Times New Roman" w:cs="Times New Roman"/>
          <w:bCs/>
        </w:rPr>
        <w:t>s</w:t>
      </w:r>
      <w:r w:rsidRPr="00FC49EB">
        <w:rPr>
          <w:rFonts w:ascii="Times New Roman" w:hAnsi="Times New Roman" w:cs="Times New Roman"/>
          <w:bCs/>
        </w:rPr>
        <w:t xml:space="preserve">, as captured by the </w:t>
      </w:r>
      <w:r>
        <w:rPr>
          <w:rFonts w:ascii="Times New Roman" w:hAnsi="Times New Roman" w:cs="Times New Roman"/>
          <w:bCs/>
        </w:rPr>
        <w:t>square root of the average variance o</w:t>
      </w:r>
      <w:r w:rsidRPr="00FC49EB">
        <w:rPr>
          <w:rFonts w:ascii="Times New Roman" w:hAnsi="Times New Roman" w:cs="Times New Roman"/>
          <w:bCs/>
        </w:rPr>
        <w:t xml:space="preserve">f the </w:t>
      </w:r>
      <w:r>
        <w:rPr>
          <w:rFonts w:ascii="Times New Roman" w:hAnsi="Times New Roman" w:cs="Times New Roman"/>
          <w:bCs/>
        </w:rPr>
        <w:t xml:space="preserve">individual </w:t>
      </w:r>
      <w:r w:rsidRPr="00FC49EB">
        <w:rPr>
          <w:rFonts w:ascii="Times New Roman" w:hAnsi="Times New Roman" w:cs="Times New Roman"/>
          <w:bCs/>
        </w:rPr>
        <w:t>probability distribution</w:t>
      </w:r>
      <w:r>
        <w:rPr>
          <w:rFonts w:ascii="Times New Roman" w:hAnsi="Times New Roman" w:cs="Times New Roman"/>
          <w:bCs/>
        </w:rPr>
        <w:t xml:space="preserve"> of unit cost increase,</w:t>
      </w:r>
      <w:r w:rsidRPr="00FC49EB">
        <w:rPr>
          <w:rFonts w:ascii="Times New Roman" w:hAnsi="Times New Roman" w:cs="Times New Roman"/>
          <w:bCs/>
        </w:rPr>
        <w:t xml:space="preserve"> </w:t>
      </w:r>
      <w:r>
        <w:rPr>
          <w:rFonts w:ascii="Times New Roman" w:hAnsi="Times New Roman" w:cs="Times New Roman"/>
          <w:bCs/>
        </w:rPr>
        <w:t>has</w:t>
      </w:r>
      <w:r w:rsidR="00E22CE6">
        <w:rPr>
          <w:rFonts w:ascii="Times New Roman" w:hAnsi="Times New Roman" w:cs="Times New Roman"/>
          <w:bCs/>
        </w:rPr>
        <w:t xml:space="preserve"> </w:t>
      </w:r>
      <w:r w:rsidR="00600772">
        <w:rPr>
          <w:rFonts w:ascii="Times New Roman" w:hAnsi="Times New Roman" w:cs="Times New Roman"/>
          <w:bCs/>
        </w:rPr>
        <w:t xml:space="preserve">remained </w:t>
      </w:r>
      <w:r w:rsidR="007932A0">
        <w:rPr>
          <w:rFonts w:ascii="Times New Roman" w:hAnsi="Times New Roman" w:cs="Times New Roman"/>
          <w:bCs/>
        </w:rPr>
        <w:t>around 2.</w:t>
      </w:r>
      <w:r w:rsidR="00751D63">
        <w:rPr>
          <w:rFonts w:ascii="Times New Roman" w:hAnsi="Times New Roman" w:cs="Times New Roman"/>
          <w:bCs/>
        </w:rPr>
        <w:t>0</w:t>
      </w:r>
      <w:r w:rsidR="007932A0">
        <w:rPr>
          <w:rFonts w:ascii="Times New Roman" w:hAnsi="Times New Roman" w:cs="Times New Roman"/>
          <w:bCs/>
        </w:rPr>
        <w:t>% during June-</w:t>
      </w:r>
      <w:r w:rsidR="00751D63">
        <w:rPr>
          <w:rFonts w:ascii="Times New Roman" w:hAnsi="Times New Roman" w:cs="Times New Roman"/>
          <w:bCs/>
        </w:rPr>
        <w:t>August</w:t>
      </w:r>
      <w:r w:rsidR="007932A0">
        <w:rPr>
          <w:rFonts w:ascii="Times New Roman" w:hAnsi="Times New Roman" w:cs="Times New Roman"/>
          <w:bCs/>
        </w:rPr>
        <w:t xml:space="preserve"> 2020</w:t>
      </w:r>
      <w:r w:rsidRPr="00FC49EB">
        <w:rPr>
          <w:rFonts w:ascii="Times New Roman" w:hAnsi="Times New Roman" w:cs="Times New Roman"/>
          <w:bCs/>
        </w:rPr>
        <w:t>.</w:t>
      </w:r>
    </w:p>
    <w:p w14:paraId="0DF0BC20" w14:textId="77777777" w:rsidR="000F5617" w:rsidRDefault="000F5617" w:rsidP="00C32EC0">
      <w:pPr>
        <w:spacing w:after="0" w:line="240" w:lineRule="auto"/>
        <w:jc w:val="center"/>
        <w:rPr>
          <w:rFonts w:ascii="Times New Roman" w:hAnsi="Times New Roman" w:cs="Times New Roman"/>
          <w:b/>
        </w:rPr>
      </w:pPr>
    </w:p>
    <w:p w14:paraId="2BC81099" w14:textId="6D0AC1E4" w:rsidR="001D09C4" w:rsidRDefault="001D09C4" w:rsidP="00C32EC0">
      <w:pPr>
        <w:spacing w:after="0" w:line="240" w:lineRule="auto"/>
        <w:jc w:val="center"/>
        <w:rPr>
          <w:rFonts w:ascii="Times New Roman" w:hAnsi="Times New Roman" w:cs="Times New Roman"/>
          <w:b/>
        </w:rPr>
      </w:pPr>
      <w:r w:rsidRPr="00FB3733">
        <w:rPr>
          <w:rFonts w:ascii="Times New Roman" w:hAnsi="Times New Roman" w:cs="Times New Roman"/>
          <w:b/>
        </w:rPr>
        <w:t xml:space="preserve">Chart 1: </w:t>
      </w:r>
      <w:r w:rsidR="00FB3733" w:rsidRPr="00FB3733">
        <w:rPr>
          <w:rFonts w:ascii="Times New Roman" w:hAnsi="Times New Roman" w:cs="Times New Roman"/>
          <w:b/>
          <w:bCs/>
        </w:rPr>
        <w:t>One year ahead business inflation expectation</w:t>
      </w:r>
      <w:r w:rsidR="00583611">
        <w:rPr>
          <w:rFonts w:ascii="Times New Roman" w:hAnsi="Times New Roman" w:cs="Times New Roman"/>
          <w:b/>
          <w:bCs/>
        </w:rPr>
        <w:t>s</w:t>
      </w:r>
      <w:r w:rsidR="00FB3733" w:rsidRPr="00FB3733">
        <w:rPr>
          <w:rFonts w:ascii="Times New Roman" w:hAnsi="Times New Roman" w:cs="Times New Roman"/>
          <w:b/>
        </w:rPr>
        <w:t xml:space="preserve"> </w:t>
      </w:r>
      <w:r w:rsidRPr="00FB3733">
        <w:rPr>
          <w:rFonts w:ascii="Times New Roman" w:hAnsi="Times New Roman" w:cs="Times New Roman"/>
          <w:b/>
        </w:rPr>
        <w:t>(%)</w:t>
      </w:r>
    </w:p>
    <w:p w14:paraId="50BD4854" w14:textId="77777777" w:rsidR="00E914D9" w:rsidRDefault="00E914D9" w:rsidP="00C32EC0">
      <w:pPr>
        <w:spacing w:after="0" w:line="240" w:lineRule="auto"/>
        <w:jc w:val="center"/>
        <w:rPr>
          <w:rFonts w:ascii="Times New Roman" w:hAnsi="Times New Roman" w:cs="Times New Roman"/>
          <w:b/>
        </w:rPr>
      </w:pPr>
    </w:p>
    <w:p w14:paraId="7D726C0A" w14:textId="150EF626" w:rsidR="004D79CC" w:rsidRDefault="009C3663" w:rsidP="00C32EC0">
      <w:pPr>
        <w:spacing w:after="0" w:line="240" w:lineRule="auto"/>
        <w:jc w:val="center"/>
        <w:rPr>
          <w:noProof/>
          <w:lang w:eastAsia="en-IN"/>
        </w:rPr>
      </w:pPr>
      <w:r>
        <w:rPr>
          <w:noProof/>
          <w:lang w:eastAsia="en-IN"/>
        </w:rPr>
        <w:lastRenderedPageBreak/>
        <w:drawing>
          <wp:inline distT="0" distB="0" distL="0" distR="0" wp14:anchorId="7A05D64F" wp14:editId="1FA11FC5">
            <wp:extent cx="5305425" cy="2743200"/>
            <wp:effectExtent l="0" t="0" r="9525"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52DC17FB" w14:textId="70007CD2" w:rsidR="009C3663" w:rsidRDefault="009C3663" w:rsidP="00C32EC0">
      <w:pPr>
        <w:spacing w:after="0" w:line="240" w:lineRule="auto"/>
        <w:jc w:val="center"/>
        <w:rPr>
          <w:noProof/>
          <w:lang w:eastAsia="en-IN"/>
        </w:rPr>
      </w:pPr>
    </w:p>
    <w:p w14:paraId="7C3AECD5" w14:textId="77777777" w:rsidR="00B8726E" w:rsidRPr="00F046DB" w:rsidRDefault="00B8726E" w:rsidP="00B8726E">
      <w:pPr>
        <w:pStyle w:val="ListParagraph"/>
        <w:numPr>
          <w:ilvl w:val="0"/>
          <w:numId w:val="11"/>
        </w:numPr>
        <w:spacing w:after="0" w:line="240" w:lineRule="auto"/>
        <w:jc w:val="both"/>
        <w:rPr>
          <w:rFonts w:ascii="Arial" w:eastAsia="Times New Roman" w:hAnsi="Arial" w:cs="Arial"/>
          <w:b/>
          <w:color w:val="222222"/>
          <w:sz w:val="32"/>
          <w:szCs w:val="32"/>
          <w:shd w:val="clear" w:color="auto" w:fill="FFFFFF"/>
          <w:lang w:val="en-GB" w:eastAsia="en-GB"/>
        </w:rPr>
      </w:pPr>
      <w:r>
        <w:rPr>
          <w:rFonts w:ascii="Times New Roman" w:hAnsi="Times New Roman" w:cs="Times New Roman"/>
          <w:bCs/>
        </w:rPr>
        <w:t>R</w:t>
      </w:r>
      <w:r w:rsidRPr="00F046DB">
        <w:rPr>
          <w:rFonts w:ascii="Times New Roman" w:hAnsi="Times New Roman" w:cs="Times New Roman"/>
          <w:bCs/>
        </w:rPr>
        <w:t xml:space="preserve">espondents were also asked to project one year ahead CPI headline inflation through an additional question using a probability distribution. </w:t>
      </w:r>
      <w:r>
        <w:rPr>
          <w:rFonts w:ascii="Times New Roman" w:hAnsi="Times New Roman" w:cs="Times New Roman"/>
          <w:bCs/>
        </w:rPr>
        <w:t>This question is repeated every alternate month, coinciding with the month of RBI’s bi-monthly monetary policy announcement.</w:t>
      </w:r>
    </w:p>
    <w:p w14:paraId="7B9C9106" w14:textId="77777777" w:rsidR="00B8726E" w:rsidRPr="00BD4062" w:rsidRDefault="00B8726E" w:rsidP="00B8726E">
      <w:pPr>
        <w:pStyle w:val="ListParagraph"/>
        <w:spacing w:after="0" w:line="240" w:lineRule="auto"/>
        <w:jc w:val="both"/>
        <w:rPr>
          <w:rFonts w:ascii="Times New Roman" w:eastAsia="Times New Roman" w:hAnsi="Times New Roman" w:cs="Times New Roman"/>
          <w:b/>
          <w:color w:val="222222"/>
          <w:sz w:val="24"/>
          <w:szCs w:val="24"/>
          <w:shd w:val="clear" w:color="auto" w:fill="FFFFFF"/>
          <w:lang w:val="en-GB" w:eastAsia="en-GB"/>
        </w:rPr>
      </w:pPr>
    </w:p>
    <w:p w14:paraId="407497E1" w14:textId="4F8ED8D0" w:rsidR="00B8726E" w:rsidRPr="00025620" w:rsidRDefault="00600772" w:rsidP="00B8726E">
      <w:pPr>
        <w:pStyle w:val="ListParagraph"/>
        <w:numPr>
          <w:ilvl w:val="0"/>
          <w:numId w:val="11"/>
        </w:numPr>
        <w:spacing w:after="0" w:line="240" w:lineRule="auto"/>
        <w:jc w:val="both"/>
        <w:rPr>
          <w:rFonts w:ascii="Arial" w:eastAsia="Times New Roman" w:hAnsi="Arial" w:cs="Arial"/>
          <w:b/>
          <w:color w:val="222222"/>
          <w:sz w:val="32"/>
          <w:szCs w:val="32"/>
          <w:shd w:val="clear" w:color="auto" w:fill="FFFFFF"/>
          <w:lang w:val="en-GB" w:eastAsia="en-GB"/>
        </w:rPr>
      </w:pPr>
      <w:r>
        <w:rPr>
          <w:rFonts w:ascii="Times New Roman" w:hAnsi="Times New Roman" w:cs="Times New Roman"/>
          <w:bCs/>
        </w:rPr>
        <w:t xml:space="preserve">Survey responses indicate </w:t>
      </w:r>
      <w:r w:rsidR="00437B16">
        <w:rPr>
          <w:rFonts w:ascii="Times New Roman" w:hAnsi="Times New Roman" w:cs="Times New Roman"/>
          <w:bCs/>
        </w:rPr>
        <w:t xml:space="preserve">a steady increase in one year ahead </w:t>
      </w:r>
      <w:r w:rsidR="00437B16" w:rsidRPr="0086778C">
        <w:rPr>
          <w:rFonts w:ascii="Times New Roman" w:hAnsi="Times New Roman" w:cs="Times New Roman"/>
          <w:bCs/>
        </w:rPr>
        <w:t xml:space="preserve">CPI </w:t>
      </w:r>
      <w:r w:rsidR="00437B16">
        <w:rPr>
          <w:rFonts w:ascii="Times New Roman" w:hAnsi="Times New Roman" w:cs="Times New Roman"/>
          <w:bCs/>
        </w:rPr>
        <w:t>headline inflation expectation. It has remained</w:t>
      </w:r>
      <w:r w:rsidR="00437B42">
        <w:rPr>
          <w:rFonts w:ascii="Times New Roman" w:hAnsi="Times New Roman" w:cs="Times New Roman"/>
          <w:bCs/>
        </w:rPr>
        <w:t xml:space="preserve"> above 4% since February 2020. </w:t>
      </w:r>
      <w:r w:rsidR="003B7854">
        <w:rPr>
          <w:rFonts w:ascii="Times New Roman" w:hAnsi="Times New Roman" w:cs="Times New Roman"/>
          <w:bCs/>
        </w:rPr>
        <w:t>The</w:t>
      </w:r>
      <w:r w:rsidR="00B8726E" w:rsidRPr="0086778C">
        <w:rPr>
          <w:rFonts w:ascii="Times New Roman" w:hAnsi="Times New Roman" w:cs="Times New Roman"/>
          <w:bCs/>
        </w:rPr>
        <w:t xml:space="preserve"> businesses in </w:t>
      </w:r>
      <w:r w:rsidR="00437B42">
        <w:rPr>
          <w:rFonts w:ascii="Times New Roman" w:hAnsi="Times New Roman" w:cs="Times New Roman"/>
          <w:bCs/>
        </w:rPr>
        <w:t>August</w:t>
      </w:r>
      <w:r w:rsidR="00B8726E">
        <w:rPr>
          <w:rFonts w:ascii="Times New Roman" w:hAnsi="Times New Roman" w:cs="Times New Roman"/>
          <w:bCs/>
        </w:rPr>
        <w:t xml:space="preserve"> 2020 </w:t>
      </w:r>
      <w:r w:rsidR="00B8726E" w:rsidRPr="0086778C">
        <w:rPr>
          <w:rFonts w:ascii="Times New Roman" w:hAnsi="Times New Roman" w:cs="Times New Roman"/>
          <w:bCs/>
        </w:rPr>
        <w:t xml:space="preserve">expect one year ahead CPI </w:t>
      </w:r>
      <w:r w:rsidR="00B8726E">
        <w:rPr>
          <w:rFonts w:ascii="Times New Roman" w:hAnsi="Times New Roman" w:cs="Times New Roman"/>
          <w:bCs/>
        </w:rPr>
        <w:t xml:space="preserve">headline </w:t>
      </w:r>
      <w:r w:rsidR="00B8726E" w:rsidRPr="0086778C">
        <w:rPr>
          <w:rFonts w:ascii="Times New Roman" w:hAnsi="Times New Roman" w:cs="Times New Roman"/>
          <w:bCs/>
        </w:rPr>
        <w:t xml:space="preserve">inflation to be </w:t>
      </w:r>
      <w:r w:rsidR="00B8726E">
        <w:rPr>
          <w:rFonts w:ascii="Times New Roman" w:hAnsi="Times New Roman" w:cs="Times New Roman"/>
          <w:bCs/>
        </w:rPr>
        <w:t>4.3</w:t>
      </w:r>
      <w:r w:rsidR="00437B42">
        <w:rPr>
          <w:rFonts w:ascii="Times New Roman" w:hAnsi="Times New Roman" w:cs="Times New Roman"/>
          <w:bCs/>
        </w:rPr>
        <w:t>7</w:t>
      </w:r>
      <w:r w:rsidR="00B8726E">
        <w:rPr>
          <w:rFonts w:ascii="Times New Roman" w:hAnsi="Times New Roman" w:cs="Times New Roman"/>
          <w:bCs/>
        </w:rPr>
        <w:t xml:space="preserve">%, </w:t>
      </w:r>
      <w:r w:rsidR="00437B42">
        <w:rPr>
          <w:rFonts w:ascii="Times New Roman" w:hAnsi="Times New Roman" w:cs="Times New Roman"/>
          <w:bCs/>
        </w:rPr>
        <w:t>marginally up</w:t>
      </w:r>
      <w:r w:rsidR="00B8726E">
        <w:rPr>
          <w:rFonts w:ascii="Times New Roman" w:hAnsi="Times New Roman" w:cs="Times New Roman"/>
          <w:bCs/>
        </w:rPr>
        <w:t xml:space="preserve"> from 4.</w:t>
      </w:r>
      <w:r w:rsidR="00437B42">
        <w:rPr>
          <w:rFonts w:ascii="Times New Roman" w:hAnsi="Times New Roman" w:cs="Times New Roman"/>
          <w:bCs/>
        </w:rPr>
        <w:t>30</w:t>
      </w:r>
      <w:r w:rsidR="00B8726E">
        <w:rPr>
          <w:rFonts w:ascii="Times New Roman" w:hAnsi="Times New Roman" w:cs="Times New Roman"/>
          <w:bCs/>
        </w:rPr>
        <w:t xml:space="preserve">% reported in </w:t>
      </w:r>
      <w:r w:rsidR="00437B42">
        <w:rPr>
          <w:rFonts w:ascii="Times New Roman" w:hAnsi="Times New Roman" w:cs="Times New Roman"/>
          <w:bCs/>
        </w:rPr>
        <w:t>June</w:t>
      </w:r>
      <w:r w:rsidR="00B8726E">
        <w:rPr>
          <w:rFonts w:ascii="Times New Roman" w:hAnsi="Times New Roman" w:cs="Times New Roman"/>
          <w:bCs/>
        </w:rPr>
        <w:t xml:space="preserve"> 20</w:t>
      </w:r>
      <w:r w:rsidR="00437B42">
        <w:rPr>
          <w:rFonts w:ascii="Times New Roman" w:hAnsi="Times New Roman" w:cs="Times New Roman"/>
          <w:bCs/>
        </w:rPr>
        <w:t>20</w:t>
      </w:r>
      <w:r w:rsidR="00B8726E" w:rsidRPr="0086778C">
        <w:rPr>
          <w:rFonts w:ascii="Times New Roman" w:hAnsi="Times New Roman" w:cs="Times New Roman"/>
          <w:bCs/>
        </w:rPr>
        <w:t xml:space="preserve">, with a relatively low standard deviation of </w:t>
      </w:r>
      <w:r w:rsidR="00B8726E">
        <w:rPr>
          <w:rFonts w:ascii="Times New Roman" w:hAnsi="Times New Roman" w:cs="Times New Roman"/>
          <w:bCs/>
        </w:rPr>
        <w:t xml:space="preserve">around </w:t>
      </w:r>
      <w:r w:rsidR="00B8726E" w:rsidRPr="0086778C">
        <w:rPr>
          <w:rFonts w:ascii="Times New Roman" w:hAnsi="Times New Roman" w:cs="Times New Roman"/>
          <w:bCs/>
        </w:rPr>
        <w:t>1.</w:t>
      </w:r>
      <w:r w:rsidR="00751D63">
        <w:rPr>
          <w:rFonts w:ascii="Times New Roman" w:hAnsi="Times New Roman" w:cs="Times New Roman"/>
          <w:bCs/>
        </w:rPr>
        <w:t>1</w:t>
      </w:r>
      <w:r w:rsidR="00B8726E" w:rsidRPr="0086778C">
        <w:rPr>
          <w:rFonts w:ascii="Times New Roman" w:hAnsi="Times New Roman" w:cs="Times New Roman"/>
          <w:bCs/>
        </w:rPr>
        <w:t>% (Chart 2).</w:t>
      </w:r>
      <w:r w:rsidR="00B8726E">
        <w:rPr>
          <w:rFonts w:ascii="Times New Roman" w:hAnsi="Times New Roman" w:cs="Times New Roman"/>
          <w:bCs/>
        </w:rPr>
        <w:t xml:space="preserve"> </w:t>
      </w:r>
    </w:p>
    <w:p w14:paraId="53F36096" w14:textId="77777777" w:rsidR="00B8726E" w:rsidRDefault="00B8726E" w:rsidP="00B8726E">
      <w:pPr>
        <w:spacing w:after="0" w:line="240" w:lineRule="auto"/>
        <w:jc w:val="center"/>
        <w:rPr>
          <w:rFonts w:ascii="Times New Roman" w:hAnsi="Times New Roman" w:cs="Times New Roman"/>
          <w:b/>
        </w:rPr>
      </w:pPr>
    </w:p>
    <w:p w14:paraId="3ACD5021" w14:textId="77777777" w:rsidR="00B8726E" w:rsidRDefault="00B8726E" w:rsidP="00B8726E">
      <w:pPr>
        <w:spacing w:after="0" w:line="240" w:lineRule="auto"/>
        <w:jc w:val="center"/>
        <w:rPr>
          <w:rFonts w:ascii="Times New Roman" w:hAnsi="Times New Roman" w:cs="Times New Roman"/>
          <w:b/>
        </w:rPr>
      </w:pPr>
      <w:r w:rsidRPr="00ED330C">
        <w:rPr>
          <w:rFonts w:ascii="Times New Roman" w:hAnsi="Times New Roman" w:cs="Times New Roman"/>
          <w:b/>
        </w:rPr>
        <w:t>Chart</w:t>
      </w:r>
      <w:r>
        <w:rPr>
          <w:rFonts w:ascii="Times New Roman" w:hAnsi="Times New Roman" w:cs="Times New Roman"/>
          <w:b/>
        </w:rPr>
        <w:t xml:space="preserve"> 2</w:t>
      </w:r>
      <w:r w:rsidRPr="00ED330C">
        <w:rPr>
          <w:rFonts w:ascii="Times New Roman" w:hAnsi="Times New Roman" w:cs="Times New Roman"/>
          <w:b/>
        </w:rPr>
        <w:t xml:space="preserve">: </w:t>
      </w:r>
      <w:r>
        <w:rPr>
          <w:rFonts w:ascii="Times New Roman" w:hAnsi="Times New Roman" w:cs="Times New Roman"/>
          <w:b/>
        </w:rPr>
        <w:t>Expected CPI headline inflation</w:t>
      </w:r>
      <w:r w:rsidRPr="00ED330C">
        <w:rPr>
          <w:rFonts w:ascii="Times New Roman" w:hAnsi="Times New Roman" w:cs="Times New Roman"/>
          <w:b/>
        </w:rPr>
        <w:t xml:space="preserve"> </w:t>
      </w:r>
      <w:r>
        <w:rPr>
          <w:rFonts w:ascii="Times New Roman" w:hAnsi="Times New Roman" w:cs="Times New Roman"/>
          <w:b/>
        </w:rPr>
        <w:t>(one year ahead)</w:t>
      </w:r>
    </w:p>
    <w:p w14:paraId="7187E291" w14:textId="77777777" w:rsidR="00B8726E" w:rsidRDefault="00B8726E" w:rsidP="00B8726E">
      <w:pPr>
        <w:spacing w:after="0" w:line="240" w:lineRule="auto"/>
        <w:jc w:val="center"/>
        <w:rPr>
          <w:rFonts w:ascii="Times New Roman" w:hAnsi="Times New Roman" w:cs="Times New Roman"/>
          <w:b/>
        </w:rPr>
      </w:pPr>
    </w:p>
    <w:p w14:paraId="050BDA0D" w14:textId="330267D3" w:rsidR="00B8726E" w:rsidRDefault="00B8726E" w:rsidP="00B8726E">
      <w:pPr>
        <w:spacing w:after="0" w:line="240" w:lineRule="auto"/>
        <w:jc w:val="center"/>
        <w:rPr>
          <w:noProof/>
          <w:lang w:eastAsia="en-IN"/>
        </w:rPr>
      </w:pPr>
      <w:r>
        <w:rPr>
          <w:noProof/>
          <w:lang w:eastAsia="en-IN"/>
        </w:rPr>
        <w:drawing>
          <wp:inline distT="0" distB="0" distL="0" distR="0" wp14:anchorId="7E55DED8" wp14:editId="2D83FD95">
            <wp:extent cx="5286375" cy="2286000"/>
            <wp:effectExtent l="0" t="0" r="9525"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6CAABCE0" w14:textId="18B7D6E0" w:rsidR="00B8726E" w:rsidRDefault="00B8726E" w:rsidP="00B8726E">
      <w:pPr>
        <w:spacing w:after="0" w:line="240" w:lineRule="auto"/>
        <w:jc w:val="center"/>
        <w:rPr>
          <w:noProof/>
          <w:lang w:eastAsia="en-IN"/>
        </w:rPr>
      </w:pPr>
    </w:p>
    <w:p w14:paraId="32E564A0" w14:textId="5586D1BC" w:rsidR="00AA63A1" w:rsidRDefault="00961726" w:rsidP="00C32EC0">
      <w:pPr>
        <w:spacing w:after="0" w:line="240" w:lineRule="auto"/>
        <w:rPr>
          <w:rFonts w:ascii="Times New Roman" w:hAnsi="Times New Roman" w:cs="Times New Roman"/>
          <w:b/>
          <w:bCs/>
        </w:rPr>
      </w:pPr>
      <w:r>
        <w:rPr>
          <w:rFonts w:ascii="Times New Roman" w:hAnsi="Times New Roman" w:cs="Times New Roman"/>
          <w:b/>
          <w:bCs/>
        </w:rPr>
        <w:t xml:space="preserve">B. </w:t>
      </w:r>
      <w:r w:rsidR="00AA63A1" w:rsidRPr="004C6586">
        <w:rPr>
          <w:rFonts w:ascii="Times New Roman" w:hAnsi="Times New Roman" w:cs="Times New Roman"/>
          <w:b/>
          <w:bCs/>
        </w:rPr>
        <w:t>Costs</w:t>
      </w:r>
    </w:p>
    <w:p w14:paraId="586084EB" w14:textId="77777777" w:rsidR="007D3B9A" w:rsidRDefault="007D3B9A" w:rsidP="00C32EC0">
      <w:pPr>
        <w:spacing w:after="0" w:line="240" w:lineRule="auto"/>
        <w:rPr>
          <w:rFonts w:ascii="Times New Roman" w:hAnsi="Times New Roman" w:cs="Times New Roman"/>
          <w:b/>
          <w:bCs/>
        </w:rPr>
      </w:pPr>
    </w:p>
    <w:p w14:paraId="5F54173D" w14:textId="2F5A8A8D" w:rsidR="00CC1C45" w:rsidRDefault="005517F3" w:rsidP="00C32EC0">
      <w:pPr>
        <w:pStyle w:val="ListParagraph"/>
        <w:numPr>
          <w:ilvl w:val="0"/>
          <w:numId w:val="10"/>
        </w:numPr>
        <w:spacing w:after="0" w:line="240" w:lineRule="auto"/>
        <w:jc w:val="both"/>
        <w:rPr>
          <w:rFonts w:ascii="Times New Roman" w:hAnsi="Times New Roman" w:cs="Times New Roman"/>
        </w:rPr>
      </w:pPr>
      <w:r>
        <w:rPr>
          <w:rFonts w:ascii="Times New Roman" w:hAnsi="Times New Roman" w:cs="Times New Roman"/>
        </w:rPr>
        <w:t xml:space="preserve">The </w:t>
      </w:r>
      <w:r w:rsidR="00320D86" w:rsidRPr="00320D86">
        <w:rPr>
          <w:rFonts w:ascii="Times New Roman" w:hAnsi="Times New Roman" w:cs="Times New Roman"/>
        </w:rPr>
        <w:t>c</w:t>
      </w:r>
      <w:r w:rsidR="00435AC3" w:rsidRPr="00320D86">
        <w:rPr>
          <w:rFonts w:ascii="Times New Roman" w:hAnsi="Times New Roman" w:cs="Times New Roman"/>
        </w:rPr>
        <w:t>ost perceptions</w:t>
      </w:r>
      <w:r w:rsidR="00320D86" w:rsidRPr="00320D86">
        <w:rPr>
          <w:rFonts w:ascii="Times New Roman" w:hAnsi="Times New Roman" w:cs="Times New Roman"/>
        </w:rPr>
        <w:t xml:space="preserve"> data show</w:t>
      </w:r>
      <w:r w:rsidR="000A1926">
        <w:rPr>
          <w:rFonts w:ascii="Times New Roman" w:hAnsi="Times New Roman" w:cs="Times New Roman"/>
        </w:rPr>
        <w:t>s</w:t>
      </w:r>
      <w:r w:rsidR="00320D86" w:rsidRPr="00320D86">
        <w:rPr>
          <w:rFonts w:ascii="Times New Roman" w:hAnsi="Times New Roman" w:cs="Times New Roman"/>
        </w:rPr>
        <w:t xml:space="preserve"> </w:t>
      </w:r>
      <w:r w:rsidR="002D47D1">
        <w:rPr>
          <w:rFonts w:ascii="Times New Roman" w:hAnsi="Times New Roman" w:cs="Times New Roman"/>
        </w:rPr>
        <w:t xml:space="preserve">marginal increase </w:t>
      </w:r>
      <w:r w:rsidR="00A74867">
        <w:rPr>
          <w:rFonts w:ascii="Times New Roman" w:hAnsi="Times New Roman" w:cs="Times New Roman"/>
        </w:rPr>
        <w:t xml:space="preserve">of </w:t>
      </w:r>
      <w:r w:rsidR="00320D86" w:rsidRPr="00320D86">
        <w:rPr>
          <w:rFonts w:ascii="Times New Roman" w:hAnsi="Times New Roman" w:cs="Times New Roman"/>
        </w:rPr>
        <w:t>cost pressures</w:t>
      </w:r>
      <w:r w:rsidR="00DB27C4">
        <w:rPr>
          <w:rFonts w:ascii="Times New Roman" w:hAnsi="Times New Roman" w:cs="Times New Roman"/>
        </w:rPr>
        <w:t>.</w:t>
      </w:r>
      <w:r w:rsidR="00320D86" w:rsidRPr="00320D86">
        <w:rPr>
          <w:rFonts w:ascii="Times New Roman" w:hAnsi="Times New Roman" w:cs="Times New Roman"/>
        </w:rPr>
        <w:t xml:space="preserve"> </w:t>
      </w:r>
    </w:p>
    <w:p w14:paraId="0C976AB1" w14:textId="77777777" w:rsidR="00CC1C45" w:rsidRDefault="00CC1C45" w:rsidP="00C32EC0">
      <w:pPr>
        <w:pStyle w:val="ListParagraph"/>
        <w:spacing w:after="0" w:line="240" w:lineRule="auto"/>
        <w:jc w:val="both"/>
        <w:rPr>
          <w:rFonts w:ascii="Times New Roman" w:hAnsi="Times New Roman" w:cs="Times New Roman"/>
        </w:rPr>
      </w:pPr>
    </w:p>
    <w:p w14:paraId="25CB0336" w14:textId="2110A9A5" w:rsidR="009872D1" w:rsidRPr="00F901EF" w:rsidRDefault="00E80495" w:rsidP="002D3AFA">
      <w:pPr>
        <w:pStyle w:val="ListParagraph"/>
        <w:numPr>
          <w:ilvl w:val="0"/>
          <w:numId w:val="10"/>
        </w:numPr>
        <w:spacing w:after="0" w:line="240" w:lineRule="auto"/>
        <w:jc w:val="both"/>
        <w:rPr>
          <w:rFonts w:ascii="Times New Roman" w:hAnsi="Times New Roman" w:cs="Times New Roman"/>
        </w:rPr>
      </w:pPr>
      <w:r w:rsidRPr="00F901EF">
        <w:rPr>
          <w:rFonts w:ascii="Times New Roman" w:hAnsi="Times New Roman" w:cs="Times New Roman"/>
        </w:rPr>
        <w:t xml:space="preserve">In </w:t>
      </w:r>
      <w:r w:rsidR="005A316F">
        <w:rPr>
          <w:rFonts w:ascii="Times New Roman" w:hAnsi="Times New Roman" w:cs="Times New Roman"/>
        </w:rPr>
        <w:t>this round of the survey</w:t>
      </w:r>
      <w:r w:rsidRPr="00F901EF">
        <w:rPr>
          <w:rFonts w:ascii="Times New Roman" w:hAnsi="Times New Roman" w:cs="Times New Roman"/>
        </w:rPr>
        <w:t xml:space="preserve">, </w:t>
      </w:r>
      <w:r w:rsidR="002D47D1">
        <w:rPr>
          <w:rFonts w:ascii="Times New Roman" w:hAnsi="Times New Roman" w:cs="Times New Roman"/>
        </w:rPr>
        <w:t>28%</w:t>
      </w:r>
      <w:r w:rsidR="00A71A5C">
        <w:rPr>
          <w:rFonts w:ascii="Times New Roman" w:hAnsi="Times New Roman" w:cs="Times New Roman"/>
        </w:rPr>
        <w:t xml:space="preserve"> </w:t>
      </w:r>
      <w:r w:rsidR="00ED22A9">
        <w:rPr>
          <w:rFonts w:ascii="Times New Roman" w:hAnsi="Times New Roman" w:cs="Times New Roman"/>
        </w:rPr>
        <w:t>of the firms</w:t>
      </w:r>
      <w:r w:rsidR="005A316F">
        <w:rPr>
          <w:rFonts w:ascii="Times New Roman" w:hAnsi="Times New Roman" w:cs="Times New Roman"/>
        </w:rPr>
        <w:t xml:space="preserve"> still expect </w:t>
      </w:r>
      <w:r w:rsidR="005A316F" w:rsidRPr="00F901EF">
        <w:rPr>
          <w:rFonts w:ascii="Times New Roman" w:hAnsi="Times New Roman" w:cs="Times New Roman"/>
        </w:rPr>
        <w:t>significant (over 6%) cost increase</w:t>
      </w:r>
      <w:r w:rsidR="005A316F">
        <w:rPr>
          <w:rFonts w:ascii="Times New Roman" w:hAnsi="Times New Roman" w:cs="Times New Roman"/>
        </w:rPr>
        <w:t xml:space="preserve"> </w:t>
      </w:r>
      <w:r w:rsidR="005A316F" w:rsidRPr="00F901EF">
        <w:rPr>
          <w:rFonts w:ascii="Times New Roman" w:hAnsi="Times New Roman" w:cs="Times New Roman"/>
        </w:rPr>
        <w:t>as compared to the same time last year</w:t>
      </w:r>
      <w:r w:rsidR="005A316F">
        <w:rPr>
          <w:rFonts w:ascii="Times New Roman" w:hAnsi="Times New Roman" w:cs="Times New Roman"/>
        </w:rPr>
        <w:t>. This proportion</w:t>
      </w:r>
      <w:r w:rsidRPr="00F901EF">
        <w:rPr>
          <w:rFonts w:ascii="Times New Roman" w:hAnsi="Times New Roman" w:cs="Times New Roman"/>
        </w:rPr>
        <w:t xml:space="preserve"> has been gradually declining</w:t>
      </w:r>
      <w:r w:rsidR="005A316F">
        <w:rPr>
          <w:rFonts w:ascii="Times New Roman" w:hAnsi="Times New Roman" w:cs="Times New Roman"/>
        </w:rPr>
        <w:t xml:space="preserve"> after March 2020</w:t>
      </w:r>
      <w:r w:rsidRPr="00F901EF">
        <w:rPr>
          <w:rFonts w:ascii="Times New Roman" w:hAnsi="Times New Roman" w:cs="Times New Roman"/>
        </w:rPr>
        <w:t xml:space="preserve">. </w:t>
      </w:r>
      <w:r w:rsidR="00A71A5C">
        <w:rPr>
          <w:rFonts w:ascii="Times New Roman" w:hAnsi="Times New Roman" w:cs="Times New Roman"/>
        </w:rPr>
        <w:t>Around</w:t>
      </w:r>
      <w:r w:rsidR="00F901EF" w:rsidRPr="00F901EF">
        <w:rPr>
          <w:rFonts w:ascii="Times New Roman" w:hAnsi="Times New Roman" w:cs="Times New Roman"/>
        </w:rPr>
        <w:t xml:space="preserve"> 5</w:t>
      </w:r>
      <w:r w:rsidR="002D47D1">
        <w:rPr>
          <w:rFonts w:ascii="Times New Roman" w:hAnsi="Times New Roman" w:cs="Times New Roman"/>
        </w:rPr>
        <w:t>2</w:t>
      </w:r>
      <w:r w:rsidR="00F901EF" w:rsidRPr="00F901EF">
        <w:rPr>
          <w:rFonts w:ascii="Times New Roman" w:hAnsi="Times New Roman" w:cs="Times New Roman"/>
        </w:rPr>
        <w:t xml:space="preserve">% of the firms now believe that the current cost increase is 3.1% and above as compared to the same time last year – </w:t>
      </w:r>
      <w:r w:rsidR="002D47D1">
        <w:rPr>
          <w:rFonts w:ascii="Times New Roman" w:hAnsi="Times New Roman" w:cs="Times New Roman"/>
        </w:rPr>
        <w:t xml:space="preserve">marginally </w:t>
      </w:r>
      <w:r w:rsidR="00A71A5C">
        <w:rPr>
          <w:rFonts w:ascii="Times New Roman" w:hAnsi="Times New Roman" w:cs="Times New Roman"/>
        </w:rPr>
        <w:t>down</w:t>
      </w:r>
      <w:r w:rsidR="00F901EF" w:rsidRPr="00F901EF">
        <w:rPr>
          <w:rFonts w:ascii="Times New Roman" w:hAnsi="Times New Roman" w:cs="Times New Roman"/>
        </w:rPr>
        <w:t xml:space="preserve"> from </w:t>
      </w:r>
      <w:r w:rsidRPr="00F901EF">
        <w:rPr>
          <w:rFonts w:ascii="Times New Roman" w:hAnsi="Times New Roman" w:cs="Times New Roman"/>
        </w:rPr>
        <w:t>5</w:t>
      </w:r>
      <w:r w:rsidR="00611B27">
        <w:rPr>
          <w:rFonts w:ascii="Times New Roman" w:hAnsi="Times New Roman" w:cs="Times New Roman"/>
        </w:rPr>
        <w:t>3</w:t>
      </w:r>
      <w:r w:rsidRPr="00F901EF">
        <w:rPr>
          <w:rFonts w:ascii="Times New Roman" w:hAnsi="Times New Roman" w:cs="Times New Roman"/>
        </w:rPr>
        <w:t xml:space="preserve">% </w:t>
      </w:r>
      <w:r w:rsidR="00F901EF">
        <w:rPr>
          <w:rFonts w:ascii="Times New Roman" w:hAnsi="Times New Roman" w:cs="Times New Roman"/>
        </w:rPr>
        <w:t xml:space="preserve">reported in </w:t>
      </w:r>
      <w:r w:rsidR="00A71A5C">
        <w:rPr>
          <w:rFonts w:ascii="Times New Roman" w:hAnsi="Times New Roman" w:cs="Times New Roman"/>
        </w:rPr>
        <w:t>Ju</w:t>
      </w:r>
      <w:r w:rsidR="00611B27">
        <w:rPr>
          <w:rFonts w:ascii="Times New Roman" w:hAnsi="Times New Roman" w:cs="Times New Roman"/>
        </w:rPr>
        <w:t>ly</w:t>
      </w:r>
      <w:r w:rsidR="00F901EF">
        <w:rPr>
          <w:rFonts w:ascii="Times New Roman" w:hAnsi="Times New Roman" w:cs="Times New Roman"/>
        </w:rPr>
        <w:t xml:space="preserve"> 2020</w:t>
      </w:r>
      <w:r w:rsidR="00611B27">
        <w:rPr>
          <w:rFonts w:ascii="Times New Roman" w:hAnsi="Times New Roman" w:cs="Times New Roman"/>
        </w:rPr>
        <w:t>. However, percentage of firms indicating moderate cost increase (between 3.1% and 6%) has increase</w:t>
      </w:r>
      <w:r w:rsidR="004E4E8E">
        <w:rPr>
          <w:rFonts w:ascii="Times New Roman" w:hAnsi="Times New Roman" w:cs="Times New Roman"/>
        </w:rPr>
        <w:t>d</w:t>
      </w:r>
      <w:r w:rsidR="00611B27">
        <w:rPr>
          <w:rFonts w:ascii="Times New Roman" w:hAnsi="Times New Roman" w:cs="Times New Roman"/>
        </w:rPr>
        <w:t xml:space="preserve"> in this round</w:t>
      </w:r>
      <w:r w:rsidR="00F901EF">
        <w:rPr>
          <w:rFonts w:ascii="Times New Roman" w:hAnsi="Times New Roman" w:cs="Times New Roman"/>
        </w:rPr>
        <w:t xml:space="preserve"> </w:t>
      </w:r>
      <w:r w:rsidR="009B4441" w:rsidRPr="00F901EF">
        <w:rPr>
          <w:rFonts w:ascii="Times New Roman" w:hAnsi="Times New Roman" w:cs="Times New Roman"/>
        </w:rPr>
        <w:t xml:space="preserve">(Chart </w:t>
      </w:r>
      <w:r w:rsidR="002D47D1">
        <w:rPr>
          <w:rFonts w:ascii="Times New Roman" w:hAnsi="Times New Roman" w:cs="Times New Roman"/>
        </w:rPr>
        <w:t>3</w:t>
      </w:r>
      <w:r w:rsidR="00320D86" w:rsidRPr="00F901EF">
        <w:rPr>
          <w:rFonts w:ascii="Times New Roman" w:hAnsi="Times New Roman" w:cs="Times New Roman"/>
        </w:rPr>
        <w:t>)</w:t>
      </w:r>
      <w:r w:rsidR="00435AC3" w:rsidRPr="00F901EF">
        <w:rPr>
          <w:rFonts w:ascii="Times New Roman" w:hAnsi="Times New Roman" w:cs="Times New Roman"/>
        </w:rPr>
        <w:t>.</w:t>
      </w:r>
    </w:p>
    <w:p w14:paraId="7CF4A145" w14:textId="77777777" w:rsidR="00F503C6" w:rsidRDefault="00F503C6" w:rsidP="00C32EC0">
      <w:pPr>
        <w:pStyle w:val="ListParagraph"/>
        <w:spacing w:after="0" w:line="240" w:lineRule="auto"/>
        <w:jc w:val="both"/>
        <w:rPr>
          <w:rFonts w:ascii="Times New Roman" w:hAnsi="Times New Roman" w:cs="Times New Roman"/>
        </w:rPr>
      </w:pPr>
    </w:p>
    <w:p w14:paraId="4A09BD89" w14:textId="272A2A36" w:rsidR="00AA63A1" w:rsidRDefault="00AA63A1" w:rsidP="00C32EC0">
      <w:pPr>
        <w:spacing w:after="0" w:line="240" w:lineRule="auto"/>
        <w:jc w:val="center"/>
        <w:rPr>
          <w:rFonts w:ascii="Times New Roman" w:hAnsi="Times New Roman" w:cs="Times New Roman"/>
          <w:b/>
          <w:bCs/>
          <w:lang w:val="en-US"/>
        </w:rPr>
      </w:pPr>
      <w:r w:rsidRPr="001D09C4">
        <w:rPr>
          <w:rFonts w:ascii="Times New Roman" w:hAnsi="Times New Roman" w:cs="Times New Roman"/>
          <w:b/>
          <w:bCs/>
          <w:lang w:val="en-US"/>
        </w:rPr>
        <w:t xml:space="preserve">Chart </w:t>
      </w:r>
      <w:r w:rsidR="002D47D1">
        <w:rPr>
          <w:rFonts w:ascii="Times New Roman" w:hAnsi="Times New Roman" w:cs="Times New Roman"/>
          <w:b/>
          <w:bCs/>
          <w:lang w:val="en-US"/>
        </w:rPr>
        <w:t>3</w:t>
      </w:r>
      <w:r w:rsidRPr="001D09C4">
        <w:rPr>
          <w:rFonts w:ascii="Times New Roman" w:hAnsi="Times New Roman" w:cs="Times New Roman"/>
          <w:b/>
          <w:bCs/>
          <w:lang w:val="en-US"/>
        </w:rPr>
        <w:t>: How do current costs per unit compare with this time last year?</w:t>
      </w:r>
      <w:r w:rsidR="005D60C2">
        <w:rPr>
          <w:rFonts w:ascii="Times New Roman" w:hAnsi="Times New Roman" w:cs="Times New Roman"/>
          <w:b/>
          <w:bCs/>
          <w:lang w:val="en-US"/>
        </w:rPr>
        <w:t xml:space="preserve"> – % responses</w:t>
      </w:r>
    </w:p>
    <w:p w14:paraId="17EA4062" w14:textId="49D6B83E" w:rsidR="00A31435" w:rsidRDefault="00A31435" w:rsidP="00C32EC0">
      <w:pPr>
        <w:spacing w:after="0" w:line="240" w:lineRule="auto"/>
        <w:jc w:val="center"/>
        <w:rPr>
          <w:rFonts w:ascii="Times New Roman" w:hAnsi="Times New Roman" w:cs="Times New Roman"/>
          <w:b/>
          <w:bCs/>
          <w:lang w:val="en-US"/>
        </w:rPr>
      </w:pPr>
    </w:p>
    <w:p w14:paraId="6726A8DE" w14:textId="5F6E5639" w:rsidR="001077C5" w:rsidRDefault="004E680E" w:rsidP="00C32EC0">
      <w:pPr>
        <w:spacing w:after="0" w:line="240" w:lineRule="auto"/>
        <w:jc w:val="center"/>
        <w:rPr>
          <w:rFonts w:ascii="Times New Roman" w:hAnsi="Times New Roman" w:cs="Times New Roman"/>
          <w:noProof/>
          <w:sz w:val="18"/>
          <w:szCs w:val="18"/>
          <w:lang w:eastAsia="en-IN"/>
        </w:rPr>
      </w:pPr>
      <w:r>
        <w:rPr>
          <w:noProof/>
          <w:lang w:eastAsia="en-IN"/>
        </w:rPr>
        <w:lastRenderedPageBreak/>
        <w:drawing>
          <wp:inline distT="0" distB="0" distL="0" distR="0" wp14:anchorId="26EEAF10" wp14:editId="4BB03507">
            <wp:extent cx="5133975" cy="2438400"/>
            <wp:effectExtent l="0" t="0" r="9525"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097CD95C" w14:textId="37C7A073" w:rsidR="004E680E" w:rsidRDefault="004E680E" w:rsidP="00C32EC0">
      <w:pPr>
        <w:spacing w:after="0" w:line="240" w:lineRule="auto"/>
        <w:jc w:val="center"/>
        <w:rPr>
          <w:rFonts w:ascii="Times New Roman" w:hAnsi="Times New Roman" w:cs="Times New Roman"/>
          <w:noProof/>
          <w:sz w:val="18"/>
          <w:szCs w:val="18"/>
          <w:lang w:eastAsia="en-IN"/>
        </w:rPr>
      </w:pPr>
    </w:p>
    <w:p w14:paraId="10F89C7D" w14:textId="77777777" w:rsidR="00C22C21" w:rsidRDefault="00C22C21" w:rsidP="00C22C21">
      <w:pPr>
        <w:spacing w:after="0" w:line="240" w:lineRule="auto"/>
        <w:jc w:val="both"/>
        <w:rPr>
          <w:rFonts w:ascii="Times New Roman" w:hAnsi="Times New Roman" w:cs="Times New Roman"/>
          <w:b/>
        </w:rPr>
      </w:pPr>
      <w:r>
        <w:rPr>
          <w:rFonts w:ascii="Times New Roman" w:hAnsi="Times New Roman" w:cs="Times New Roman"/>
          <w:b/>
        </w:rPr>
        <w:t>C. Sales Levels</w:t>
      </w:r>
    </w:p>
    <w:p w14:paraId="2C9812A5" w14:textId="77777777" w:rsidR="00C22C21" w:rsidRPr="002E5927" w:rsidRDefault="00C22C21" w:rsidP="00C22C21">
      <w:pPr>
        <w:spacing w:after="0" w:line="240" w:lineRule="auto"/>
        <w:jc w:val="both"/>
        <w:rPr>
          <w:rFonts w:ascii="Times New Roman" w:hAnsi="Times New Roman" w:cs="Times New Roman"/>
          <w:b/>
        </w:rPr>
      </w:pPr>
    </w:p>
    <w:p w14:paraId="6110165C" w14:textId="62F398AB" w:rsidR="00C22C21" w:rsidRPr="003A3568" w:rsidRDefault="00C22C21" w:rsidP="00C22C21">
      <w:pPr>
        <w:pStyle w:val="ListParagraph"/>
        <w:numPr>
          <w:ilvl w:val="0"/>
          <w:numId w:val="7"/>
        </w:numPr>
        <w:spacing w:after="0" w:line="240" w:lineRule="auto"/>
        <w:jc w:val="both"/>
        <w:rPr>
          <w:rFonts w:ascii="Times New Roman" w:hAnsi="Times New Roman" w:cs="Times New Roman"/>
          <w:b/>
        </w:rPr>
      </w:pPr>
      <w:r>
        <w:rPr>
          <w:rFonts w:ascii="Times New Roman" w:hAnsi="Times New Roman" w:cs="Times New Roman"/>
        </w:rPr>
        <w:t xml:space="preserve">Over </w:t>
      </w:r>
      <w:r w:rsidR="00AF798A">
        <w:rPr>
          <w:rFonts w:ascii="Times New Roman" w:hAnsi="Times New Roman" w:cs="Times New Roman"/>
        </w:rPr>
        <w:t>59</w:t>
      </w:r>
      <w:r w:rsidR="005E075F">
        <w:rPr>
          <w:rFonts w:ascii="Times New Roman" w:hAnsi="Times New Roman" w:cs="Times New Roman"/>
        </w:rPr>
        <w:t xml:space="preserve">% </w:t>
      </w:r>
      <w:r w:rsidR="007914B6">
        <w:rPr>
          <w:rFonts w:ascii="Times New Roman" w:hAnsi="Times New Roman" w:cs="Times New Roman"/>
        </w:rPr>
        <w:t xml:space="preserve">of the firms </w:t>
      </w:r>
      <w:r>
        <w:rPr>
          <w:rFonts w:ascii="Times New Roman" w:hAnsi="Times New Roman" w:cs="Times New Roman"/>
        </w:rPr>
        <w:t xml:space="preserve">in </w:t>
      </w:r>
      <w:r w:rsidR="00AF798A">
        <w:rPr>
          <w:rFonts w:ascii="Times New Roman" w:hAnsi="Times New Roman" w:cs="Times New Roman"/>
        </w:rPr>
        <w:t>August 2</w:t>
      </w:r>
      <w:r w:rsidR="007F7EB5">
        <w:rPr>
          <w:rFonts w:ascii="Times New Roman" w:hAnsi="Times New Roman" w:cs="Times New Roman"/>
        </w:rPr>
        <w:t>020</w:t>
      </w:r>
      <w:r w:rsidRPr="003A3568">
        <w:rPr>
          <w:rFonts w:ascii="Times New Roman" w:hAnsi="Times New Roman" w:cs="Times New Roman"/>
        </w:rPr>
        <w:t xml:space="preserve"> report that sales are </w:t>
      </w:r>
      <w:r w:rsidR="007F7EB5">
        <w:rPr>
          <w:rFonts w:ascii="Times New Roman" w:hAnsi="Times New Roman" w:cs="Times New Roman"/>
        </w:rPr>
        <w:t>‘</w:t>
      </w:r>
      <w:r w:rsidRPr="003A3568">
        <w:rPr>
          <w:rFonts w:ascii="Times New Roman" w:hAnsi="Times New Roman" w:cs="Times New Roman"/>
        </w:rPr>
        <w:t>much less than normal</w:t>
      </w:r>
      <w:r w:rsidR="007F7EB5">
        <w:rPr>
          <w:rFonts w:ascii="Times New Roman" w:hAnsi="Times New Roman" w:cs="Times New Roman"/>
        </w:rPr>
        <w:t>’</w:t>
      </w:r>
      <w:r>
        <w:rPr>
          <w:rFonts w:ascii="Times New Roman" w:hAnsi="Times New Roman" w:cs="Times New Roman"/>
        </w:rPr>
        <w:t xml:space="preserve"> as against </w:t>
      </w:r>
      <w:r w:rsidR="00AF798A">
        <w:rPr>
          <w:rFonts w:ascii="Times New Roman" w:hAnsi="Times New Roman" w:cs="Times New Roman"/>
        </w:rPr>
        <w:t>66</w:t>
      </w:r>
      <w:r w:rsidRPr="003A3568">
        <w:rPr>
          <w:rFonts w:ascii="Times New Roman" w:hAnsi="Times New Roman" w:cs="Times New Roman"/>
        </w:rPr>
        <w:t>%</w:t>
      </w:r>
      <w:r>
        <w:rPr>
          <w:rFonts w:ascii="Times New Roman" w:hAnsi="Times New Roman" w:cs="Times New Roman"/>
        </w:rPr>
        <w:t xml:space="preserve"> firms reporting in </w:t>
      </w:r>
      <w:r w:rsidR="00AF798A">
        <w:rPr>
          <w:rFonts w:ascii="Times New Roman" w:hAnsi="Times New Roman" w:cs="Times New Roman"/>
        </w:rPr>
        <w:t>July</w:t>
      </w:r>
      <w:r w:rsidRPr="003C0A84">
        <w:rPr>
          <w:rFonts w:ascii="Times New Roman" w:hAnsi="Times New Roman" w:cs="Times New Roman"/>
        </w:rPr>
        <w:t>.</w:t>
      </w:r>
      <w:r w:rsidR="00727C41" w:rsidRPr="003C0A84">
        <w:rPr>
          <w:rStyle w:val="FootnoteReference"/>
          <w:rFonts w:ascii="Times New Roman" w:hAnsi="Times New Roman" w:cs="Times New Roman"/>
        </w:rPr>
        <w:footnoteReference w:id="1"/>
      </w:r>
      <w:r w:rsidR="00AF798A">
        <w:rPr>
          <w:rFonts w:ascii="Times New Roman" w:hAnsi="Times New Roman" w:cs="Times New Roman"/>
        </w:rPr>
        <w:t xml:space="preserve"> This proportion is gradually declining from March 2020.</w:t>
      </w:r>
      <w:r w:rsidRPr="003A3568">
        <w:rPr>
          <w:rFonts w:ascii="Times New Roman" w:hAnsi="Times New Roman" w:cs="Times New Roman"/>
        </w:rPr>
        <w:t xml:space="preserve"> </w:t>
      </w:r>
    </w:p>
    <w:p w14:paraId="4136C022" w14:textId="77777777" w:rsidR="00C22C21" w:rsidRPr="003A3568" w:rsidRDefault="00C22C21" w:rsidP="00C22C21">
      <w:pPr>
        <w:pStyle w:val="ListParagraph"/>
        <w:spacing w:after="0" w:line="240" w:lineRule="auto"/>
        <w:jc w:val="both"/>
        <w:rPr>
          <w:rFonts w:ascii="Times New Roman" w:hAnsi="Times New Roman" w:cs="Times New Roman"/>
          <w:b/>
        </w:rPr>
      </w:pPr>
    </w:p>
    <w:p w14:paraId="6C75A3BA" w14:textId="6BF87546" w:rsidR="00C22C21" w:rsidRPr="00015185" w:rsidRDefault="007F7EB5" w:rsidP="00796AC9">
      <w:pPr>
        <w:pStyle w:val="ListParagraph"/>
        <w:numPr>
          <w:ilvl w:val="0"/>
          <w:numId w:val="7"/>
        </w:numPr>
        <w:spacing w:after="0" w:line="240" w:lineRule="auto"/>
        <w:jc w:val="both"/>
        <w:rPr>
          <w:rFonts w:ascii="Times New Roman" w:hAnsi="Times New Roman" w:cs="Times New Roman"/>
          <w:b/>
        </w:rPr>
      </w:pPr>
      <w:r>
        <w:rPr>
          <w:rFonts w:ascii="Times New Roman" w:hAnsi="Times New Roman" w:cs="Times New Roman"/>
        </w:rPr>
        <w:t xml:space="preserve">While there seems to be </w:t>
      </w:r>
      <w:r w:rsidR="00F93FD9">
        <w:rPr>
          <w:rFonts w:ascii="Times New Roman" w:hAnsi="Times New Roman" w:cs="Times New Roman"/>
        </w:rPr>
        <w:t xml:space="preserve">steady </w:t>
      </w:r>
      <w:r>
        <w:rPr>
          <w:rFonts w:ascii="Times New Roman" w:hAnsi="Times New Roman" w:cs="Times New Roman"/>
        </w:rPr>
        <w:t>improvement of sales, a</w:t>
      </w:r>
      <w:r w:rsidR="00C22C21">
        <w:rPr>
          <w:rFonts w:ascii="Times New Roman" w:hAnsi="Times New Roman" w:cs="Times New Roman"/>
        </w:rPr>
        <w:t xml:space="preserve">round </w:t>
      </w:r>
      <w:r w:rsidR="00916798">
        <w:rPr>
          <w:rFonts w:ascii="Times New Roman" w:hAnsi="Times New Roman" w:cs="Times New Roman"/>
        </w:rPr>
        <w:t>8</w:t>
      </w:r>
      <w:r w:rsidR="00F93FD9">
        <w:rPr>
          <w:rFonts w:ascii="Times New Roman" w:hAnsi="Times New Roman" w:cs="Times New Roman"/>
        </w:rPr>
        <w:t>2</w:t>
      </w:r>
      <w:r w:rsidR="00C22C21">
        <w:rPr>
          <w:rFonts w:ascii="Times New Roman" w:hAnsi="Times New Roman" w:cs="Times New Roman"/>
        </w:rPr>
        <w:t xml:space="preserve">% of the firms </w:t>
      </w:r>
      <w:r w:rsidR="00C22C21" w:rsidRPr="001655AC">
        <w:rPr>
          <w:rFonts w:ascii="Times New Roman" w:hAnsi="Times New Roman" w:cs="Times New Roman"/>
        </w:rPr>
        <w:t xml:space="preserve">in the sample </w:t>
      </w:r>
      <w:r>
        <w:rPr>
          <w:rFonts w:ascii="Times New Roman" w:hAnsi="Times New Roman" w:cs="Times New Roman"/>
        </w:rPr>
        <w:t xml:space="preserve">still </w:t>
      </w:r>
      <w:r w:rsidR="00C22C21" w:rsidRPr="001655AC">
        <w:rPr>
          <w:rFonts w:ascii="Times New Roman" w:hAnsi="Times New Roman" w:cs="Times New Roman"/>
        </w:rPr>
        <w:t>report that sales are ‘</w:t>
      </w:r>
      <w:r w:rsidR="00C22C21">
        <w:rPr>
          <w:rFonts w:ascii="Times New Roman" w:hAnsi="Times New Roman" w:cs="Times New Roman"/>
        </w:rPr>
        <w:t xml:space="preserve">somewhat or much less </w:t>
      </w:r>
      <w:r w:rsidR="00C22C21" w:rsidRPr="001655AC">
        <w:rPr>
          <w:rFonts w:ascii="Times New Roman" w:hAnsi="Times New Roman" w:cs="Times New Roman"/>
        </w:rPr>
        <w:t>than normal’</w:t>
      </w:r>
      <w:r w:rsidR="00C22C21">
        <w:rPr>
          <w:rFonts w:ascii="Times New Roman" w:hAnsi="Times New Roman" w:cs="Times New Roman"/>
        </w:rPr>
        <w:t xml:space="preserve"> </w:t>
      </w:r>
      <w:r w:rsidR="00C22C21" w:rsidRPr="001655AC">
        <w:rPr>
          <w:rFonts w:ascii="Times New Roman" w:hAnsi="Times New Roman" w:cs="Times New Roman"/>
        </w:rPr>
        <w:t xml:space="preserve">(Chart </w:t>
      </w:r>
      <w:r w:rsidR="00AF798A">
        <w:rPr>
          <w:rFonts w:ascii="Times New Roman" w:hAnsi="Times New Roman" w:cs="Times New Roman"/>
        </w:rPr>
        <w:t>4</w:t>
      </w:r>
      <w:r w:rsidR="00C22C21" w:rsidRPr="001655AC">
        <w:rPr>
          <w:rFonts w:ascii="Times New Roman" w:hAnsi="Times New Roman" w:cs="Times New Roman"/>
        </w:rPr>
        <w:t xml:space="preserve">). </w:t>
      </w:r>
      <w:r w:rsidR="00F93FD9">
        <w:rPr>
          <w:rFonts w:ascii="Times New Roman" w:hAnsi="Times New Roman" w:cs="Times New Roman"/>
        </w:rPr>
        <w:t>Th</w:t>
      </w:r>
      <w:r w:rsidR="00C22C21">
        <w:rPr>
          <w:rFonts w:ascii="Times New Roman" w:hAnsi="Times New Roman" w:cs="Times New Roman"/>
        </w:rPr>
        <w:t xml:space="preserve">is proportion </w:t>
      </w:r>
      <w:r w:rsidR="00F93FD9">
        <w:rPr>
          <w:rFonts w:ascii="Times New Roman" w:hAnsi="Times New Roman" w:cs="Times New Roman"/>
        </w:rPr>
        <w:t>was over 93% in March 2020.</w:t>
      </w:r>
      <w:r w:rsidR="00C22C21">
        <w:rPr>
          <w:rFonts w:ascii="Times New Roman" w:hAnsi="Times New Roman" w:cs="Times New Roman"/>
        </w:rPr>
        <w:t xml:space="preserve">  </w:t>
      </w:r>
    </w:p>
    <w:p w14:paraId="2744CD86" w14:textId="7C6E8A83" w:rsidR="00C22C21" w:rsidRDefault="00C22C21" w:rsidP="00C22C21">
      <w:pPr>
        <w:pStyle w:val="ListParagraph"/>
        <w:spacing w:after="0" w:line="240" w:lineRule="auto"/>
        <w:jc w:val="center"/>
        <w:rPr>
          <w:rFonts w:ascii="Times New Roman" w:hAnsi="Times New Roman" w:cs="Times New Roman"/>
          <w:b/>
          <w:bCs/>
        </w:rPr>
      </w:pPr>
      <w:r w:rsidRPr="001D09C4">
        <w:rPr>
          <w:rFonts w:ascii="Times New Roman" w:hAnsi="Times New Roman" w:cs="Times New Roman"/>
          <w:b/>
          <w:bCs/>
        </w:rPr>
        <w:t xml:space="preserve">Chart </w:t>
      </w:r>
      <w:r w:rsidR="00AF798A">
        <w:rPr>
          <w:rFonts w:ascii="Times New Roman" w:hAnsi="Times New Roman" w:cs="Times New Roman"/>
          <w:b/>
          <w:bCs/>
        </w:rPr>
        <w:t>4</w:t>
      </w:r>
      <w:r w:rsidRPr="001D09C4">
        <w:rPr>
          <w:rFonts w:ascii="Times New Roman" w:hAnsi="Times New Roman" w:cs="Times New Roman"/>
          <w:b/>
          <w:bCs/>
        </w:rPr>
        <w:t>: Sales Levels - % response</w:t>
      </w:r>
    </w:p>
    <w:p w14:paraId="764873E8" w14:textId="29324513" w:rsidR="00FE7F96" w:rsidRDefault="00FE7F96" w:rsidP="00C22C21">
      <w:pPr>
        <w:pStyle w:val="ListParagraph"/>
        <w:spacing w:after="0" w:line="240" w:lineRule="auto"/>
        <w:jc w:val="center"/>
        <w:rPr>
          <w:rFonts w:ascii="Times New Roman" w:hAnsi="Times New Roman" w:cs="Times New Roman"/>
          <w:b/>
          <w:bCs/>
        </w:rPr>
      </w:pPr>
    </w:p>
    <w:p w14:paraId="0890B775" w14:textId="06B57B6E" w:rsidR="004E680E" w:rsidRDefault="004E680E" w:rsidP="00C22C21">
      <w:pPr>
        <w:pStyle w:val="ListParagraph"/>
        <w:spacing w:after="0" w:line="240" w:lineRule="auto"/>
        <w:jc w:val="center"/>
        <w:rPr>
          <w:rFonts w:ascii="Times New Roman" w:hAnsi="Times New Roman" w:cs="Times New Roman"/>
          <w:b/>
          <w:bCs/>
        </w:rPr>
      </w:pPr>
      <w:r w:rsidRPr="00D3210D">
        <w:rPr>
          <w:rFonts w:ascii="Times New Roman" w:hAnsi="Times New Roman" w:cs="Times New Roman"/>
          <w:noProof/>
          <w:sz w:val="16"/>
          <w:szCs w:val="16"/>
          <w:lang w:val="en-IN" w:eastAsia="en-IN"/>
        </w:rPr>
        <w:drawing>
          <wp:inline distT="0" distB="0" distL="0" distR="0" wp14:anchorId="7B4CED0B" wp14:editId="15ED12F0">
            <wp:extent cx="5076825" cy="2028825"/>
            <wp:effectExtent l="0" t="0" r="9525" b="9525"/>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5135F109" w14:textId="226BE108" w:rsidR="001077C5" w:rsidRDefault="001077C5" w:rsidP="00C22C21">
      <w:pPr>
        <w:pStyle w:val="ListParagraph"/>
        <w:spacing w:after="0" w:line="240" w:lineRule="auto"/>
        <w:jc w:val="center"/>
        <w:rPr>
          <w:rFonts w:ascii="Times New Roman" w:hAnsi="Times New Roman" w:cs="Times New Roman"/>
          <w:noProof/>
          <w:sz w:val="18"/>
          <w:szCs w:val="18"/>
          <w:lang w:val="en-IN" w:eastAsia="en-IN"/>
        </w:rPr>
      </w:pPr>
    </w:p>
    <w:p w14:paraId="1FA4BB36" w14:textId="4F9C09E2" w:rsidR="004E680E" w:rsidRDefault="004E680E" w:rsidP="00C22C21">
      <w:pPr>
        <w:pStyle w:val="ListParagraph"/>
        <w:spacing w:after="0" w:line="240" w:lineRule="auto"/>
        <w:jc w:val="center"/>
        <w:rPr>
          <w:rFonts w:ascii="Times New Roman" w:hAnsi="Times New Roman" w:cs="Times New Roman"/>
          <w:noProof/>
          <w:sz w:val="18"/>
          <w:szCs w:val="18"/>
          <w:lang w:val="en-IN" w:eastAsia="en-IN"/>
        </w:rPr>
      </w:pPr>
    </w:p>
    <w:p w14:paraId="1FF63185" w14:textId="11DB3458" w:rsidR="00C22C21" w:rsidRDefault="00C22C21" w:rsidP="00C22C21">
      <w:pPr>
        <w:spacing w:after="0" w:line="240" w:lineRule="auto"/>
        <w:jc w:val="both"/>
        <w:rPr>
          <w:rFonts w:ascii="Times New Roman" w:hAnsi="Times New Roman" w:cs="Times New Roman"/>
          <w:b/>
          <w:bCs/>
        </w:rPr>
      </w:pPr>
      <w:r>
        <w:rPr>
          <w:rFonts w:ascii="Times New Roman" w:hAnsi="Times New Roman" w:cs="Times New Roman"/>
          <w:b/>
          <w:bCs/>
        </w:rPr>
        <w:t xml:space="preserve">D. </w:t>
      </w:r>
      <w:r w:rsidRPr="004C6586">
        <w:rPr>
          <w:rFonts w:ascii="Times New Roman" w:hAnsi="Times New Roman" w:cs="Times New Roman"/>
          <w:b/>
          <w:bCs/>
        </w:rPr>
        <w:t>Profit Margins</w:t>
      </w:r>
    </w:p>
    <w:p w14:paraId="42D688DE" w14:textId="77777777" w:rsidR="00C22C21" w:rsidRPr="004C6586" w:rsidRDefault="00C22C21" w:rsidP="00C22C21">
      <w:pPr>
        <w:spacing w:after="0" w:line="240" w:lineRule="auto"/>
        <w:jc w:val="both"/>
        <w:rPr>
          <w:rFonts w:ascii="Times New Roman" w:hAnsi="Times New Roman" w:cs="Times New Roman"/>
          <w:b/>
          <w:bCs/>
        </w:rPr>
      </w:pPr>
    </w:p>
    <w:p w14:paraId="3B4D866A" w14:textId="077392D0" w:rsidR="00C22C21" w:rsidRPr="00F93FD9" w:rsidRDefault="0000342E" w:rsidP="007E191A">
      <w:pPr>
        <w:pStyle w:val="ListParagraph"/>
        <w:numPr>
          <w:ilvl w:val="0"/>
          <w:numId w:val="14"/>
        </w:numPr>
        <w:spacing w:after="0" w:line="240" w:lineRule="auto"/>
        <w:ind w:left="709"/>
        <w:jc w:val="both"/>
        <w:rPr>
          <w:rFonts w:ascii="Times New Roman" w:hAnsi="Times New Roman" w:cs="Times New Roman"/>
          <w:b/>
          <w:bCs/>
          <w:lang w:bidi="hi-IN"/>
        </w:rPr>
      </w:pPr>
      <w:r w:rsidRPr="00F93FD9">
        <w:rPr>
          <w:rFonts w:ascii="Times New Roman" w:hAnsi="Times New Roman" w:cs="Times New Roman"/>
        </w:rPr>
        <w:t xml:space="preserve">Over </w:t>
      </w:r>
      <w:r w:rsidR="00F93FD9" w:rsidRPr="00F93FD9">
        <w:rPr>
          <w:rFonts w:ascii="Times New Roman" w:hAnsi="Times New Roman" w:cs="Times New Roman"/>
        </w:rPr>
        <w:t xml:space="preserve">57% </w:t>
      </w:r>
      <w:r w:rsidR="00C22C21" w:rsidRPr="00F93FD9">
        <w:rPr>
          <w:rFonts w:ascii="Times New Roman" w:hAnsi="Times New Roman" w:cs="Times New Roman"/>
        </w:rPr>
        <w:t xml:space="preserve">of firms in the sample </w:t>
      </w:r>
      <w:r w:rsidRPr="00F93FD9">
        <w:rPr>
          <w:rFonts w:ascii="Times New Roman" w:hAnsi="Times New Roman" w:cs="Times New Roman"/>
        </w:rPr>
        <w:t xml:space="preserve">in </w:t>
      </w:r>
      <w:r w:rsidR="00F93FD9" w:rsidRPr="00F93FD9">
        <w:rPr>
          <w:rFonts w:ascii="Times New Roman" w:hAnsi="Times New Roman" w:cs="Times New Roman"/>
        </w:rPr>
        <w:t>August</w:t>
      </w:r>
      <w:r w:rsidRPr="00F93FD9">
        <w:rPr>
          <w:rFonts w:ascii="Times New Roman" w:hAnsi="Times New Roman" w:cs="Times New Roman"/>
        </w:rPr>
        <w:t xml:space="preserve"> 2020 </w:t>
      </w:r>
      <w:r w:rsidR="00C22C21" w:rsidRPr="00F93FD9">
        <w:rPr>
          <w:rFonts w:ascii="Times New Roman" w:hAnsi="Times New Roman" w:cs="Times New Roman"/>
        </w:rPr>
        <w:t>report</w:t>
      </w:r>
      <w:r w:rsidRPr="00F93FD9">
        <w:rPr>
          <w:rFonts w:ascii="Times New Roman" w:hAnsi="Times New Roman" w:cs="Times New Roman"/>
        </w:rPr>
        <w:t>ed</w:t>
      </w:r>
      <w:r w:rsidR="00C22C21" w:rsidRPr="00F93FD9">
        <w:rPr>
          <w:rFonts w:ascii="Times New Roman" w:hAnsi="Times New Roman" w:cs="Times New Roman"/>
        </w:rPr>
        <w:t xml:space="preserve"> ‘much less than normal’ profit </w:t>
      </w:r>
      <w:r w:rsidRPr="00F93FD9">
        <w:rPr>
          <w:rFonts w:ascii="Times New Roman" w:hAnsi="Times New Roman" w:cs="Times New Roman"/>
        </w:rPr>
        <w:t xml:space="preserve">as against </w:t>
      </w:r>
      <w:r w:rsidR="00F93FD9" w:rsidRPr="00F93FD9">
        <w:rPr>
          <w:rFonts w:ascii="Times New Roman" w:hAnsi="Times New Roman" w:cs="Times New Roman"/>
        </w:rPr>
        <w:t xml:space="preserve">62% </w:t>
      </w:r>
      <w:r w:rsidR="00C22C21" w:rsidRPr="00F93FD9">
        <w:rPr>
          <w:rFonts w:ascii="Times New Roman" w:hAnsi="Times New Roman" w:cs="Times New Roman"/>
        </w:rPr>
        <w:t xml:space="preserve">in </w:t>
      </w:r>
      <w:r w:rsidR="00916798" w:rsidRPr="00F93FD9">
        <w:rPr>
          <w:rFonts w:ascii="Times New Roman" w:hAnsi="Times New Roman" w:cs="Times New Roman"/>
        </w:rPr>
        <w:t>Ju</w:t>
      </w:r>
      <w:r w:rsidR="00F93FD9" w:rsidRPr="00F93FD9">
        <w:rPr>
          <w:rFonts w:ascii="Times New Roman" w:hAnsi="Times New Roman" w:cs="Times New Roman"/>
        </w:rPr>
        <w:t>ly</w:t>
      </w:r>
      <w:r w:rsidR="00D11372" w:rsidRPr="00F93FD9">
        <w:rPr>
          <w:rFonts w:ascii="Times New Roman" w:hAnsi="Times New Roman" w:cs="Times New Roman"/>
        </w:rPr>
        <w:t xml:space="preserve"> </w:t>
      </w:r>
      <w:r w:rsidR="00C22C21" w:rsidRPr="00F93FD9">
        <w:rPr>
          <w:rFonts w:ascii="Times New Roman" w:hAnsi="Times New Roman" w:cs="Times New Roman"/>
        </w:rPr>
        <w:t>2020</w:t>
      </w:r>
      <w:r w:rsidRPr="00F93FD9">
        <w:rPr>
          <w:rFonts w:ascii="Times New Roman" w:hAnsi="Times New Roman" w:cs="Times New Roman"/>
        </w:rPr>
        <w:t>.</w:t>
      </w:r>
      <w:r w:rsidR="00C22C21" w:rsidRPr="00F93FD9">
        <w:rPr>
          <w:rFonts w:ascii="Times New Roman" w:hAnsi="Times New Roman" w:cs="Times New Roman"/>
        </w:rPr>
        <w:t xml:space="preserve"> </w:t>
      </w:r>
      <w:r w:rsidR="00DC19A8">
        <w:rPr>
          <w:rFonts w:ascii="Times New Roman" w:hAnsi="Times New Roman" w:cs="Times New Roman"/>
        </w:rPr>
        <w:t xml:space="preserve">Firms are moving from </w:t>
      </w:r>
      <w:r w:rsidR="00DC19A8" w:rsidRPr="00F93FD9">
        <w:rPr>
          <w:rFonts w:ascii="Times New Roman" w:hAnsi="Times New Roman" w:cs="Times New Roman"/>
        </w:rPr>
        <w:t xml:space="preserve">‘much less than normal’ profit </w:t>
      </w:r>
      <w:r w:rsidR="00DC19A8">
        <w:rPr>
          <w:rFonts w:ascii="Times New Roman" w:hAnsi="Times New Roman" w:cs="Times New Roman"/>
        </w:rPr>
        <w:t>to ‘somewhat less than normal’ profit category gradually</w:t>
      </w:r>
      <w:r w:rsidR="00E47676">
        <w:rPr>
          <w:rFonts w:ascii="Times New Roman" w:hAnsi="Times New Roman" w:cs="Times New Roman"/>
        </w:rPr>
        <w:t xml:space="preserve"> (Chart 5)</w:t>
      </w:r>
      <w:r w:rsidR="00DC19A8">
        <w:rPr>
          <w:rFonts w:ascii="Times New Roman" w:hAnsi="Times New Roman" w:cs="Times New Roman"/>
        </w:rPr>
        <w:t xml:space="preserve">. </w:t>
      </w:r>
    </w:p>
    <w:p w14:paraId="282A5B37" w14:textId="77777777" w:rsidR="00C22C21" w:rsidRDefault="00C22C21" w:rsidP="00C22C21">
      <w:pPr>
        <w:spacing w:after="0" w:line="240" w:lineRule="auto"/>
        <w:ind w:left="360"/>
        <w:jc w:val="center"/>
        <w:rPr>
          <w:rFonts w:ascii="Times New Roman" w:hAnsi="Times New Roman" w:cs="Times New Roman"/>
          <w:b/>
          <w:bCs/>
          <w:lang w:val="en-US" w:bidi="hi-IN"/>
        </w:rPr>
      </w:pPr>
    </w:p>
    <w:p w14:paraId="7BFA0420" w14:textId="0370E931" w:rsidR="00C22C21" w:rsidRDefault="00C22C21" w:rsidP="00C22C21">
      <w:pPr>
        <w:spacing w:after="0" w:line="240" w:lineRule="auto"/>
        <w:ind w:left="360"/>
        <w:jc w:val="center"/>
        <w:rPr>
          <w:rFonts w:ascii="Times New Roman" w:hAnsi="Times New Roman" w:cs="Times New Roman"/>
          <w:b/>
          <w:bCs/>
          <w:lang w:val="en-US" w:bidi="hi-IN"/>
        </w:rPr>
      </w:pPr>
      <w:r w:rsidRPr="001D09C4">
        <w:rPr>
          <w:rFonts w:ascii="Times New Roman" w:hAnsi="Times New Roman" w:cs="Times New Roman"/>
          <w:b/>
          <w:bCs/>
          <w:lang w:val="en-US" w:bidi="hi-IN"/>
        </w:rPr>
        <w:t xml:space="preserve">Chart </w:t>
      </w:r>
      <w:r w:rsidR="00E47676">
        <w:rPr>
          <w:rFonts w:ascii="Times New Roman" w:hAnsi="Times New Roman" w:cs="Times New Roman"/>
          <w:b/>
          <w:bCs/>
          <w:lang w:val="en-US" w:bidi="hi-IN"/>
        </w:rPr>
        <w:t>5</w:t>
      </w:r>
      <w:r w:rsidRPr="001D09C4">
        <w:rPr>
          <w:rFonts w:ascii="Times New Roman" w:hAnsi="Times New Roman" w:cs="Times New Roman"/>
          <w:b/>
          <w:bCs/>
          <w:lang w:val="en-US" w:bidi="hi-IN"/>
        </w:rPr>
        <w:t>: Profit Margins - % response</w:t>
      </w:r>
    </w:p>
    <w:p w14:paraId="417D33D7" w14:textId="77777777" w:rsidR="00C22C21" w:rsidRDefault="00C22C21" w:rsidP="00C22C21">
      <w:pPr>
        <w:spacing w:after="0" w:line="240" w:lineRule="auto"/>
        <w:ind w:left="360"/>
        <w:jc w:val="center"/>
        <w:rPr>
          <w:rFonts w:ascii="Times New Roman" w:hAnsi="Times New Roman" w:cs="Times New Roman"/>
          <w:b/>
          <w:bCs/>
          <w:lang w:val="en-US" w:bidi="hi-IN"/>
        </w:rPr>
      </w:pPr>
    </w:p>
    <w:p w14:paraId="7B3A8E74" w14:textId="182D69AF" w:rsidR="00C22C21" w:rsidRDefault="004E680E" w:rsidP="00C22C21">
      <w:pPr>
        <w:spacing w:after="0" w:line="240" w:lineRule="auto"/>
        <w:ind w:left="360"/>
        <w:jc w:val="center"/>
        <w:rPr>
          <w:rFonts w:ascii="Times New Roman" w:hAnsi="Times New Roman" w:cs="Times New Roman"/>
          <w:b/>
          <w:bCs/>
          <w:lang w:val="en-US" w:bidi="hi-IN"/>
        </w:rPr>
      </w:pPr>
      <w:r>
        <w:rPr>
          <w:noProof/>
          <w:lang w:eastAsia="en-IN"/>
        </w:rPr>
        <w:lastRenderedPageBreak/>
        <w:drawing>
          <wp:inline distT="0" distB="0" distL="0" distR="0" wp14:anchorId="213C0AC9" wp14:editId="304D3BA7">
            <wp:extent cx="5561330" cy="2238375"/>
            <wp:effectExtent l="0" t="0" r="1270" b="9525"/>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6AB963C7" w14:textId="77777777" w:rsidR="00211F50" w:rsidRDefault="00211F50" w:rsidP="00C32EC0">
      <w:pPr>
        <w:spacing w:after="0" w:line="240" w:lineRule="auto"/>
        <w:jc w:val="center"/>
        <w:rPr>
          <w:rFonts w:ascii="Times New Roman" w:hAnsi="Times New Roman" w:cs="Times New Roman"/>
          <w:b/>
          <w:sz w:val="28"/>
          <w:szCs w:val="28"/>
        </w:rPr>
      </w:pPr>
    </w:p>
    <w:p w14:paraId="56445B13" w14:textId="77777777" w:rsidR="00211F50" w:rsidRDefault="00211F50" w:rsidP="00C32EC0">
      <w:pPr>
        <w:spacing w:after="0" w:line="240" w:lineRule="auto"/>
        <w:jc w:val="center"/>
        <w:rPr>
          <w:rFonts w:ascii="Times New Roman" w:hAnsi="Times New Roman" w:cs="Times New Roman"/>
          <w:b/>
          <w:sz w:val="28"/>
          <w:szCs w:val="28"/>
        </w:rPr>
      </w:pPr>
    </w:p>
    <w:p w14:paraId="4EAA46CB" w14:textId="77777777" w:rsidR="00211F50" w:rsidRPr="00AB144A" w:rsidRDefault="00211F50" w:rsidP="00211F50">
      <w:pPr>
        <w:spacing w:after="0" w:line="240" w:lineRule="auto"/>
        <w:ind w:left="360"/>
        <w:jc w:val="both"/>
        <w:rPr>
          <w:rFonts w:ascii="Times New Roman" w:hAnsi="Times New Roman" w:cs="Times New Roman"/>
          <w:i/>
          <w:iCs/>
          <w:sz w:val="20"/>
          <w:szCs w:val="20"/>
          <w:u w:val="single"/>
        </w:rPr>
      </w:pPr>
      <w:r w:rsidRPr="00AB144A">
        <w:rPr>
          <w:rFonts w:ascii="Times New Roman" w:hAnsi="Times New Roman" w:cs="Times New Roman"/>
          <w:i/>
          <w:iCs/>
          <w:sz w:val="20"/>
          <w:szCs w:val="20"/>
          <w:u w:val="single"/>
        </w:rPr>
        <w:t>For media queries, please contact:</w:t>
      </w:r>
    </w:p>
    <w:p w14:paraId="756AB2D5" w14:textId="77777777" w:rsidR="00211F50" w:rsidRPr="00AB144A" w:rsidRDefault="00211F50" w:rsidP="00211F50">
      <w:pPr>
        <w:spacing w:after="0" w:line="240" w:lineRule="auto"/>
        <w:ind w:left="360"/>
        <w:jc w:val="both"/>
        <w:rPr>
          <w:rFonts w:ascii="Times New Roman" w:hAnsi="Times New Roman" w:cs="Times New Roman"/>
          <w:i/>
          <w:iCs/>
          <w:sz w:val="20"/>
          <w:szCs w:val="20"/>
          <w:u w:val="single"/>
        </w:rPr>
      </w:pPr>
    </w:p>
    <w:p w14:paraId="195B9476" w14:textId="77777777" w:rsidR="00211F50" w:rsidRPr="00AB144A" w:rsidRDefault="00211F50" w:rsidP="00211F50">
      <w:pPr>
        <w:spacing w:after="0" w:line="240" w:lineRule="auto"/>
        <w:ind w:left="360"/>
        <w:jc w:val="both"/>
        <w:rPr>
          <w:rFonts w:ascii="Times New Roman" w:hAnsi="Times New Roman" w:cs="Times New Roman"/>
          <w:sz w:val="20"/>
          <w:szCs w:val="20"/>
        </w:rPr>
      </w:pPr>
    </w:p>
    <w:p w14:paraId="695B28BD" w14:textId="77777777" w:rsidR="00211F50" w:rsidRPr="00AB144A" w:rsidRDefault="00211F50" w:rsidP="00211F50">
      <w:pPr>
        <w:spacing w:after="0" w:line="240" w:lineRule="auto"/>
        <w:ind w:left="360"/>
        <w:jc w:val="both"/>
        <w:rPr>
          <w:rFonts w:ascii="Times New Roman" w:hAnsi="Times New Roman" w:cs="Times New Roman"/>
          <w:b/>
          <w:bCs/>
          <w:sz w:val="20"/>
          <w:szCs w:val="20"/>
        </w:rPr>
      </w:pPr>
      <w:r w:rsidRPr="00AB144A">
        <w:rPr>
          <w:rFonts w:ascii="Times New Roman" w:hAnsi="Times New Roman" w:cs="Times New Roman"/>
          <w:b/>
          <w:bCs/>
          <w:sz w:val="20"/>
          <w:szCs w:val="20"/>
        </w:rPr>
        <w:t>Mitaaly Naidu</w:t>
      </w:r>
    </w:p>
    <w:p w14:paraId="6936CB80" w14:textId="77777777" w:rsidR="00211F50" w:rsidRPr="00AB144A" w:rsidRDefault="00211F50" w:rsidP="00211F50">
      <w:pPr>
        <w:spacing w:after="0" w:line="240" w:lineRule="auto"/>
        <w:ind w:left="360"/>
        <w:jc w:val="both"/>
        <w:rPr>
          <w:rFonts w:ascii="Times New Roman" w:hAnsi="Times New Roman" w:cs="Times New Roman"/>
          <w:b/>
          <w:bCs/>
          <w:sz w:val="20"/>
          <w:szCs w:val="20"/>
        </w:rPr>
      </w:pPr>
      <w:r w:rsidRPr="00AB144A">
        <w:rPr>
          <w:rFonts w:ascii="Times New Roman" w:hAnsi="Times New Roman" w:cs="Times New Roman"/>
          <w:b/>
          <w:bCs/>
          <w:sz w:val="20"/>
          <w:szCs w:val="20"/>
        </w:rPr>
        <w:t>Executive, Public Relations</w:t>
      </w:r>
    </w:p>
    <w:p w14:paraId="7629DC77" w14:textId="77777777" w:rsidR="00211F50" w:rsidRPr="003A4953" w:rsidRDefault="00211F50" w:rsidP="00211F50">
      <w:pPr>
        <w:spacing w:after="0" w:line="240" w:lineRule="auto"/>
        <w:ind w:left="360"/>
        <w:jc w:val="both"/>
        <w:rPr>
          <w:rFonts w:ascii="Times New Roman" w:hAnsi="Times New Roman" w:cs="Times New Roman"/>
          <w:sz w:val="20"/>
          <w:szCs w:val="20"/>
        </w:rPr>
      </w:pPr>
      <w:r w:rsidRPr="00AB144A">
        <w:rPr>
          <w:rFonts w:ascii="Times New Roman" w:hAnsi="Times New Roman" w:cs="Times New Roman"/>
          <w:sz w:val="20"/>
          <w:szCs w:val="20"/>
        </w:rPr>
        <w:t xml:space="preserve">Ph: (Cell) +91-7069074816, (O) +91-79-7152 4684, Email: </w:t>
      </w:r>
      <w:hyperlink r:id="rId14" w:history="1">
        <w:r w:rsidRPr="00AB144A">
          <w:rPr>
            <w:rStyle w:val="Hyperlink"/>
            <w:rFonts w:ascii="Times New Roman" w:hAnsi="Times New Roman" w:cs="Times New Roman"/>
            <w:sz w:val="20"/>
            <w:szCs w:val="20"/>
          </w:rPr>
          <w:t>pr@iima.ac.in</w:t>
        </w:r>
      </w:hyperlink>
    </w:p>
    <w:p w14:paraId="7139C13A" w14:textId="77777777" w:rsidR="00211F50" w:rsidRDefault="00211F50" w:rsidP="00211F50">
      <w:pPr>
        <w:spacing w:after="0" w:line="240" w:lineRule="auto"/>
        <w:rPr>
          <w:rFonts w:ascii="Times New Roman" w:hAnsi="Times New Roman" w:cs="Times New Roman"/>
          <w:b/>
          <w:sz w:val="28"/>
          <w:szCs w:val="28"/>
        </w:rPr>
      </w:pPr>
    </w:p>
    <w:p w14:paraId="0F10ED6A" w14:textId="77777777" w:rsidR="00CC2584" w:rsidRDefault="00CC2584" w:rsidP="00C32EC0">
      <w:pPr>
        <w:spacing w:after="0" w:line="240" w:lineRule="auto"/>
        <w:jc w:val="center"/>
        <w:rPr>
          <w:rFonts w:ascii="Times New Roman" w:hAnsi="Times New Roman" w:cs="Times New Roman"/>
          <w:b/>
          <w:sz w:val="28"/>
          <w:szCs w:val="28"/>
        </w:rPr>
      </w:pPr>
    </w:p>
    <w:p w14:paraId="1A92D2A7" w14:textId="77777777" w:rsidR="00CC2584" w:rsidRDefault="00CC2584" w:rsidP="00C32EC0">
      <w:pPr>
        <w:spacing w:after="0" w:line="240" w:lineRule="auto"/>
        <w:jc w:val="center"/>
        <w:rPr>
          <w:rFonts w:ascii="Times New Roman" w:hAnsi="Times New Roman" w:cs="Times New Roman"/>
          <w:b/>
          <w:sz w:val="28"/>
          <w:szCs w:val="28"/>
        </w:rPr>
      </w:pPr>
    </w:p>
    <w:p w14:paraId="3C0EC55A" w14:textId="318D7373" w:rsidR="009F5421" w:rsidRDefault="009F5421" w:rsidP="00C32EC0">
      <w:pPr>
        <w:spacing w:after="0" w:line="240" w:lineRule="auto"/>
        <w:jc w:val="center"/>
        <w:rPr>
          <w:rFonts w:ascii="Times New Roman" w:hAnsi="Times New Roman" w:cs="Times New Roman"/>
          <w:b/>
          <w:bCs/>
          <w:sz w:val="28"/>
          <w:szCs w:val="28"/>
        </w:rPr>
      </w:pPr>
      <w:bookmarkStart w:id="0" w:name="_GoBack"/>
      <w:bookmarkEnd w:id="0"/>
      <w:r w:rsidRPr="009F5421">
        <w:rPr>
          <w:rFonts w:ascii="Times New Roman" w:hAnsi="Times New Roman" w:cs="Times New Roman"/>
          <w:b/>
          <w:sz w:val="28"/>
          <w:szCs w:val="28"/>
        </w:rPr>
        <w:t>Business Inflation Expectation Survey</w:t>
      </w:r>
      <w:r>
        <w:rPr>
          <w:rFonts w:ascii="Times New Roman" w:hAnsi="Times New Roman" w:cs="Times New Roman"/>
          <w:b/>
          <w:sz w:val="28"/>
          <w:szCs w:val="28"/>
        </w:rPr>
        <w:t xml:space="preserve"> (BIES) </w:t>
      </w:r>
      <w:r w:rsidR="00410FBB">
        <w:rPr>
          <w:rFonts w:ascii="Times New Roman" w:hAnsi="Times New Roman" w:cs="Times New Roman"/>
          <w:b/>
          <w:sz w:val="28"/>
          <w:szCs w:val="28"/>
        </w:rPr>
        <w:t>–</w:t>
      </w:r>
      <w:r>
        <w:rPr>
          <w:rFonts w:ascii="Times New Roman" w:hAnsi="Times New Roman" w:cs="Times New Roman"/>
          <w:b/>
          <w:sz w:val="28"/>
          <w:szCs w:val="28"/>
        </w:rPr>
        <w:t xml:space="preserve"> </w:t>
      </w:r>
      <w:r w:rsidRPr="009F5421">
        <w:rPr>
          <w:rFonts w:ascii="Times New Roman" w:hAnsi="Times New Roman" w:cs="Times New Roman"/>
          <w:b/>
          <w:bCs/>
          <w:sz w:val="28"/>
          <w:szCs w:val="28"/>
        </w:rPr>
        <w:t>Questionnaire</w:t>
      </w:r>
    </w:p>
    <w:p w14:paraId="03B3149C" w14:textId="77777777" w:rsidR="00410FBB" w:rsidRPr="009F5421" w:rsidRDefault="00410FBB" w:rsidP="00C32EC0">
      <w:pPr>
        <w:spacing w:after="0" w:line="240" w:lineRule="auto"/>
        <w:rPr>
          <w:rFonts w:ascii="Times New Roman" w:hAnsi="Times New Roman" w:cs="Times New Roman"/>
          <w:b/>
          <w:bCs/>
          <w:sz w:val="28"/>
          <w:szCs w:val="28"/>
        </w:rPr>
      </w:pPr>
    </w:p>
    <w:tbl>
      <w:tblPr>
        <w:tblStyle w:val="TableGrid"/>
        <w:tblW w:w="9810" w:type="dxa"/>
        <w:tblInd w:w="198" w:type="dxa"/>
        <w:tblLook w:val="04A0" w:firstRow="1" w:lastRow="0" w:firstColumn="1" w:lastColumn="0" w:noHBand="0" w:noVBand="1"/>
      </w:tblPr>
      <w:tblGrid>
        <w:gridCol w:w="9810"/>
      </w:tblGrid>
      <w:tr w:rsidR="009F5421" w:rsidRPr="009F5421" w14:paraId="70712FC1" w14:textId="77777777" w:rsidTr="00E0056C">
        <w:tc>
          <w:tcPr>
            <w:tcW w:w="9810" w:type="dxa"/>
          </w:tcPr>
          <w:p w14:paraId="63332A76" w14:textId="77777777" w:rsidR="009F5421" w:rsidRPr="009F5421" w:rsidRDefault="009F5421" w:rsidP="00C32EC0">
            <w:pPr>
              <w:pStyle w:val="NormalWeb"/>
              <w:spacing w:before="0" w:beforeAutospacing="0" w:after="0" w:afterAutospacing="0"/>
              <w:jc w:val="both"/>
              <w:rPr>
                <w:b/>
                <w:bCs/>
                <w:sz w:val="22"/>
                <w:szCs w:val="22"/>
              </w:rPr>
            </w:pPr>
            <w:r w:rsidRPr="009F5421">
              <w:rPr>
                <w:b/>
                <w:bCs/>
                <w:sz w:val="22"/>
                <w:szCs w:val="22"/>
              </w:rPr>
              <w:t>A. Current Business Conditions</w:t>
            </w:r>
          </w:p>
          <w:p w14:paraId="3CF0E096" w14:textId="77777777" w:rsidR="009F5421" w:rsidRPr="009F5421" w:rsidRDefault="009F5421" w:rsidP="00C32EC0">
            <w:pPr>
              <w:pStyle w:val="NormalWeb"/>
              <w:spacing w:before="0" w:beforeAutospacing="0" w:after="0" w:afterAutospacing="0"/>
              <w:jc w:val="both"/>
              <w:rPr>
                <w:sz w:val="22"/>
                <w:szCs w:val="22"/>
              </w:rPr>
            </w:pPr>
          </w:p>
          <w:p w14:paraId="7FE4ADA9" w14:textId="77777777" w:rsidR="009F5421" w:rsidRPr="009F5421" w:rsidRDefault="009F5421" w:rsidP="00C32EC0">
            <w:pPr>
              <w:pStyle w:val="ListParagraph"/>
              <w:spacing w:after="0" w:line="240" w:lineRule="auto"/>
              <w:ind w:left="0"/>
              <w:jc w:val="both"/>
              <w:rPr>
                <w:rFonts w:ascii="Times New Roman" w:hAnsi="Times New Roman" w:cs="Times New Roman"/>
              </w:rPr>
            </w:pPr>
            <w:r w:rsidRPr="009F5421">
              <w:rPr>
                <w:rFonts w:ascii="Times New Roman" w:hAnsi="Times New Roman" w:cs="Times New Roman"/>
              </w:rPr>
              <w:t xml:space="preserve">Q1. How do your current </w:t>
            </w:r>
            <w:r w:rsidRPr="009F5421">
              <w:rPr>
                <w:rFonts w:ascii="Times New Roman" w:hAnsi="Times New Roman" w:cs="Times New Roman"/>
                <w:b/>
              </w:rPr>
              <w:t>PROFIT MARGINS</w:t>
            </w:r>
            <w:r w:rsidRPr="009F5421">
              <w:rPr>
                <w:rFonts w:ascii="Times New Roman" w:hAnsi="Times New Roman" w:cs="Times New Roman"/>
                <w:vertAlign w:val="superscript"/>
              </w:rPr>
              <w:t>@</w:t>
            </w:r>
            <w:r w:rsidRPr="009F5421">
              <w:rPr>
                <w:rFonts w:ascii="Times New Roman" w:hAnsi="Times New Roman" w:cs="Times New Roman"/>
              </w:rPr>
              <w:t xml:space="preserve"> compare with "normal"</w:t>
            </w:r>
            <w:r w:rsidRPr="009F5421">
              <w:rPr>
                <w:rFonts w:ascii="Times New Roman" w:hAnsi="Times New Roman" w:cs="Times New Roman"/>
                <w:vertAlign w:val="superscript"/>
              </w:rPr>
              <w:t>*</w:t>
            </w:r>
            <w:r w:rsidRPr="009F5421">
              <w:rPr>
                <w:rFonts w:ascii="Times New Roman" w:hAnsi="Times New Roman" w:cs="Times New Roman"/>
              </w:rPr>
              <w:t xml:space="preserve"> times? </w:t>
            </w:r>
          </w:p>
          <w:p w14:paraId="02E71E11" w14:textId="77777777" w:rsidR="009F5421" w:rsidRPr="009F5421" w:rsidRDefault="009F5421" w:rsidP="00C32EC0">
            <w:pPr>
              <w:pStyle w:val="ListParagraph"/>
              <w:numPr>
                <w:ilvl w:val="0"/>
                <w:numId w:val="4"/>
              </w:numPr>
              <w:spacing w:after="0" w:line="240" w:lineRule="auto"/>
              <w:jc w:val="both"/>
              <w:rPr>
                <w:rFonts w:ascii="Times New Roman" w:hAnsi="Times New Roman" w:cs="Times New Roman"/>
              </w:rPr>
            </w:pPr>
            <w:r w:rsidRPr="009F5421">
              <w:rPr>
                <w:rFonts w:ascii="Times New Roman" w:hAnsi="Times New Roman" w:cs="Times New Roman"/>
              </w:rPr>
              <w:t>Much less than normal</w:t>
            </w:r>
          </w:p>
          <w:p w14:paraId="7779146A" w14:textId="77777777" w:rsidR="009F5421" w:rsidRPr="009F5421" w:rsidRDefault="009F5421" w:rsidP="00C32EC0">
            <w:pPr>
              <w:pStyle w:val="ListParagraph"/>
              <w:numPr>
                <w:ilvl w:val="0"/>
                <w:numId w:val="4"/>
              </w:numPr>
              <w:spacing w:after="0" w:line="240" w:lineRule="auto"/>
              <w:jc w:val="both"/>
              <w:rPr>
                <w:rFonts w:ascii="Times New Roman" w:hAnsi="Times New Roman" w:cs="Times New Roman"/>
              </w:rPr>
            </w:pPr>
            <w:r w:rsidRPr="009F5421">
              <w:rPr>
                <w:rFonts w:ascii="Times New Roman" w:hAnsi="Times New Roman" w:cs="Times New Roman"/>
              </w:rPr>
              <w:t>Somewhat less than normal</w:t>
            </w:r>
          </w:p>
          <w:p w14:paraId="7B112715" w14:textId="77777777" w:rsidR="009F5421" w:rsidRPr="009F5421" w:rsidRDefault="009F5421" w:rsidP="00C32EC0">
            <w:pPr>
              <w:pStyle w:val="ListParagraph"/>
              <w:numPr>
                <w:ilvl w:val="0"/>
                <w:numId w:val="4"/>
              </w:numPr>
              <w:spacing w:after="0" w:line="240" w:lineRule="auto"/>
              <w:jc w:val="both"/>
              <w:rPr>
                <w:rFonts w:ascii="Times New Roman" w:hAnsi="Times New Roman" w:cs="Times New Roman"/>
              </w:rPr>
            </w:pPr>
            <w:r w:rsidRPr="009F5421">
              <w:rPr>
                <w:rFonts w:ascii="Times New Roman" w:hAnsi="Times New Roman" w:cs="Times New Roman"/>
              </w:rPr>
              <w:t>About normal</w:t>
            </w:r>
          </w:p>
          <w:p w14:paraId="5C155C38" w14:textId="77777777" w:rsidR="009F5421" w:rsidRPr="009F5421" w:rsidRDefault="009F5421" w:rsidP="00C32EC0">
            <w:pPr>
              <w:pStyle w:val="ListParagraph"/>
              <w:numPr>
                <w:ilvl w:val="0"/>
                <w:numId w:val="4"/>
              </w:numPr>
              <w:spacing w:after="0" w:line="240" w:lineRule="auto"/>
              <w:jc w:val="both"/>
              <w:rPr>
                <w:rFonts w:ascii="Times New Roman" w:hAnsi="Times New Roman" w:cs="Times New Roman"/>
              </w:rPr>
            </w:pPr>
            <w:r w:rsidRPr="009F5421">
              <w:rPr>
                <w:rFonts w:ascii="Times New Roman" w:hAnsi="Times New Roman" w:cs="Times New Roman"/>
              </w:rPr>
              <w:t>Somewhat greater than normal</w:t>
            </w:r>
          </w:p>
          <w:p w14:paraId="3A7FB978" w14:textId="77777777" w:rsidR="009F5421" w:rsidRPr="009F5421" w:rsidRDefault="009F5421" w:rsidP="00C32EC0">
            <w:pPr>
              <w:pStyle w:val="ListParagraph"/>
              <w:numPr>
                <w:ilvl w:val="0"/>
                <w:numId w:val="4"/>
              </w:numPr>
              <w:spacing w:after="0" w:line="240" w:lineRule="auto"/>
              <w:jc w:val="both"/>
              <w:rPr>
                <w:rFonts w:ascii="Times New Roman" w:hAnsi="Times New Roman" w:cs="Times New Roman"/>
              </w:rPr>
            </w:pPr>
            <w:r w:rsidRPr="009F5421">
              <w:rPr>
                <w:rFonts w:ascii="Times New Roman" w:hAnsi="Times New Roman" w:cs="Times New Roman"/>
              </w:rPr>
              <w:t>Much greater than normal</w:t>
            </w:r>
          </w:p>
          <w:p w14:paraId="50FB045D" w14:textId="77777777" w:rsidR="009F5421" w:rsidRPr="009F5421" w:rsidRDefault="009F5421" w:rsidP="00C32EC0">
            <w:pPr>
              <w:pStyle w:val="NormalWeb"/>
              <w:spacing w:before="0" w:beforeAutospacing="0" w:after="0" w:afterAutospacing="0"/>
              <w:jc w:val="both"/>
              <w:rPr>
                <w:sz w:val="22"/>
                <w:szCs w:val="22"/>
              </w:rPr>
            </w:pPr>
          </w:p>
          <w:p w14:paraId="48E34079" w14:textId="77777777" w:rsidR="009F5421" w:rsidRPr="009F5421" w:rsidRDefault="009F5421" w:rsidP="00C32EC0">
            <w:pPr>
              <w:pStyle w:val="NormalWeb"/>
              <w:spacing w:before="0" w:beforeAutospacing="0" w:after="0" w:afterAutospacing="0"/>
              <w:jc w:val="both"/>
              <w:rPr>
                <w:sz w:val="22"/>
                <w:szCs w:val="22"/>
              </w:rPr>
            </w:pPr>
            <w:r w:rsidRPr="009F5421">
              <w:rPr>
                <w:sz w:val="22"/>
                <w:szCs w:val="22"/>
              </w:rPr>
              <w:t xml:space="preserve">Q2. How do your current sales levels compare with </w:t>
            </w:r>
            <w:r w:rsidRPr="009F5421">
              <w:rPr>
                <w:b/>
                <w:sz w:val="22"/>
                <w:szCs w:val="22"/>
              </w:rPr>
              <w:t>SALES LEVELS</w:t>
            </w:r>
            <w:r w:rsidRPr="009F5421">
              <w:rPr>
                <w:sz w:val="22"/>
                <w:szCs w:val="22"/>
                <w:vertAlign w:val="superscript"/>
              </w:rPr>
              <w:t>@</w:t>
            </w:r>
            <w:r w:rsidRPr="009F5421">
              <w:rPr>
                <w:sz w:val="22"/>
                <w:szCs w:val="22"/>
              </w:rPr>
              <w:t xml:space="preserve"> during what you consider to be "normal"</w:t>
            </w:r>
            <w:r w:rsidRPr="009F5421">
              <w:rPr>
                <w:sz w:val="22"/>
                <w:szCs w:val="22"/>
                <w:vertAlign w:val="superscript"/>
              </w:rPr>
              <w:t>*</w:t>
            </w:r>
            <w:r w:rsidRPr="009F5421">
              <w:rPr>
                <w:sz w:val="22"/>
                <w:szCs w:val="22"/>
              </w:rPr>
              <w:t xml:space="preserve"> times?</w:t>
            </w:r>
          </w:p>
          <w:p w14:paraId="512D2FE2" w14:textId="77777777" w:rsidR="009F5421" w:rsidRPr="009F5421" w:rsidRDefault="009F5421" w:rsidP="00C32EC0">
            <w:pPr>
              <w:pStyle w:val="NormalWeb"/>
              <w:numPr>
                <w:ilvl w:val="0"/>
                <w:numId w:val="3"/>
              </w:numPr>
              <w:spacing w:before="0" w:beforeAutospacing="0" w:after="0" w:afterAutospacing="0"/>
              <w:jc w:val="both"/>
              <w:rPr>
                <w:sz w:val="22"/>
                <w:szCs w:val="22"/>
              </w:rPr>
            </w:pPr>
            <w:r w:rsidRPr="009F5421">
              <w:rPr>
                <w:sz w:val="22"/>
                <w:szCs w:val="22"/>
              </w:rPr>
              <w:t xml:space="preserve">Much less than normal </w:t>
            </w:r>
          </w:p>
          <w:p w14:paraId="4D92C758" w14:textId="77777777" w:rsidR="009F5421" w:rsidRPr="009F5421" w:rsidRDefault="009F5421" w:rsidP="00C32EC0">
            <w:pPr>
              <w:pStyle w:val="NormalWeb"/>
              <w:numPr>
                <w:ilvl w:val="0"/>
                <w:numId w:val="3"/>
              </w:numPr>
              <w:spacing w:before="0" w:beforeAutospacing="0" w:after="0" w:afterAutospacing="0"/>
              <w:jc w:val="both"/>
              <w:rPr>
                <w:sz w:val="22"/>
                <w:szCs w:val="22"/>
              </w:rPr>
            </w:pPr>
            <w:r w:rsidRPr="009F5421">
              <w:rPr>
                <w:sz w:val="22"/>
                <w:szCs w:val="22"/>
              </w:rPr>
              <w:t xml:space="preserve">Somewhat less than normal </w:t>
            </w:r>
          </w:p>
          <w:p w14:paraId="12F6576F" w14:textId="77777777" w:rsidR="009F5421" w:rsidRPr="009F5421" w:rsidRDefault="009F5421" w:rsidP="00C32EC0">
            <w:pPr>
              <w:pStyle w:val="NormalWeb"/>
              <w:numPr>
                <w:ilvl w:val="0"/>
                <w:numId w:val="3"/>
              </w:numPr>
              <w:spacing w:before="0" w:beforeAutospacing="0" w:after="0" w:afterAutospacing="0"/>
              <w:jc w:val="both"/>
              <w:rPr>
                <w:sz w:val="22"/>
                <w:szCs w:val="22"/>
              </w:rPr>
            </w:pPr>
            <w:r w:rsidRPr="009F5421">
              <w:rPr>
                <w:sz w:val="22"/>
                <w:szCs w:val="22"/>
              </w:rPr>
              <w:t xml:space="preserve">About normal </w:t>
            </w:r>
          </w:p>
          <w:p w14:paraId="0F84F659" w14:textId="77777777" w:rsidR="009F5421" w:rsidRPr="009F5421" w:rsidRDefault="009F5421" w:rsidP="00C32EC0">
            <w:pPr>
              <w:pStyle w:val="NormalWeb"/>
              <w:numPr>
                <w:ilvl w:val="0"/>
                <w:numId w:val="3"/>
              </w:numPr>
              <w:spacing w:before="0" w:beforeAutospacing="0" w:after="0" w:afterAutospacing="0"/>
              <w:jc w:val="both"/>
              <w:rPr>
                <w:sz w:val="22"/>
                <w:szCs w:val="22"/>
              </w:rPr>
            </w:pPr>
            <w:r w:rsidRPr="009F5421">
              <w:rPr>
                <w:sz w:val="22"/>
                <w:szCs w:val="22"/>
              </w:rPr>
              <w:t xml:space="preserve">somewhat greater than normal </w:t>
            </w:r>
          </w:p>
          <w:p w14:paraId="7AEB7092" w14:textId="212F55A8" w:rsidR="009F5421" w:rsidRDefault="009F5421" w:rsidP="00C32EC0">
            <w:pPr>
              <w:pStyle w:val="NormalWeb"/>
              <w:numPr>
                <w:ilvl w:val="0"/>
                <w:numId w:val="3"/>
              </w:numPr>
              <w:spacing w:before="0" w:beforeAutospacing="0" w:after="0" w:afterAutospacing="0"/>
              <w:jc w:val="both"/>
              <w:rPr>
                <w:sz w:val="22"/>
                <w:szCs w:val="22"/>
              </w:rPr>
            </w:pPr>
            <w:r w:rsidRPr="009F5421">
              <w:rPr>
                <w:sz w:val="22"/>
                <w:szCs w:val="22"/>
              </w:rPr>
              <w:t xml:space="preserve">Much greater than normal </w:t>
            </w:r>
          </w:p>
          <w:p w14:paraId="2FF5E03B" w14:textId="77777777" w:rsidR="002B2E73" w:rsidRPr="009F5421" w:rsidRDefault="002B2E73" w:rsidP="00C32EC0">
            <w:pPr>
              <w:pStyle w:val="NormalWeb"/>
              <w:spacing w:before="0" w:beforeAutospacing="0" w:after="0" w:afterAutospacing="0"/>
              <w:ind w:left="1800"/>
              <w:jc w:val="both"/>
              <w:rPr>
                <w:sz w:val="22"/>
                <w:szCs w:val="22"/>
              </w:rPr>
            </w:pPr>
          </w:p>
          <w:p w14:paraId="14A7EFFE" w14:textId="32981CC1" w:rsidR="002B2E73" w:rsidRDefault="002B2E73" w:rsidP="00C32EC0">
            <w:pPr>
              <w:spacing w:after="0" w:line="240" w:lineRule="auto"/>
              <w:contextualSpacing/>
              <w:jc w:val="both"/>
              <w:rPr>
                <w:rFonts w:ascii="Times New Roman" w:hAnsi="Times New Roman" w:cs="Times New Roman"/>
                <w:i/>
              </w:rPr>
            </w:pPr>
            <w:r w:rsidRPr="009F5421">
              <w:rPr>
                <w:rFonts w:ascii="Times New Roman" w:hAnsi="Times New Roman" w:cs="Times New Roman"/>
                <w:i/>
                <w:vertAlign w:val="superscript"/>
              </w:rPr>
              <w:t xml:space="preserve">@   </w:t>
            </w:r>
            <w:r w:rsidRPr="009F5421">
              <w:rPr>
                <w:rFonts w:ascii="Times New Roman" w:hAnsi="Times New Roman" w:cs="Times New Roman"/>
                <w:i/>
              </w:rPr>
              <w:t>of the main or most important product in terms of sales.</w:t>
            </w:r>
          </w:p>
          <w:p w14:paraId="08EC46B0" w14:textId="28DF2C01" w:rsidR="009F5421" w:rsidRPr="009F5421" w:rsidRDefault="009F5421" w:rsidP="00C32EC0">
            <w:pPr>
              <w:spacing w:after="0" w:line="240" w:lineRule="auto"/>
              <w:contextualSpacing/>
              <w:jc w:val="both"/>
              <w:rPr>
                <w:rFonts w:ascii="Times New Roman" w:hAnsi="Times New Roman" w:cs="Times New Roman"/>
                <w:i/>
              </w:rPr>
            </w:pPr>
            <w:r w:rsidRPr="009F5421">
              <w:rPr>
                <w:rFonts w:ascii="Times New Roman" w:hAnsi="Times New Roman" w:cs="Times New Roman"/>
                <w:i/>
              </w:rPr>
              <w:t>*"normal" means the average level obtained during the corresponding time point of preceding 3 years.</w:t>
            </w:r>
          </w:p>
          <w:p w14:paraId="6B60823C" w14:textId="79D72485" w:rsidR="009F5421" w:rsidRPr="009F5421" w:rsidRDefault="009F5421" w:rsidP="00C32EC0">
            <w:pPr>
              <w:spacing w:after="0" w:line="240" w:lineRule="auto"/>
              <w:contextualSpacing/>
              <w:rPr>
                <w:rFonts w:ascii="Times New Roman" w:hAnsi="Times New Roman" w:cs="Times New Roman"/>
                <w:b/>
              </w:rPr>
            </w:pPr>
          </w:p>
        </w:tc>
      </w:tr>
      <w:tr w:rsidR="009F5421" w:rsidRPr="009F5421" w14:paraId="774338C0" w14:textId="77777777" w:rsidTr="00E0056C">
        <w:tc>
          <w:tcPr>
            <w:tcW w:w="9810" w:type="dxa"/>
          </w:tcPr>
          <w:p w14:paraId="4141F7F9" w14:textId="33F56317" w:rsidR="009F5421" w:rsidRPr="009F5421" w:rsidRDefault="009F5421" w:rsidP="00C32EC0">
            <w:pPr>
              <w:pStyle w:val="ListParagraph"/>
              <w:spacing w:after="0" w:line="240" w:lineRule="auto"/>
              <w:ind w:left="0"/>
              <w:rPr>
                <w:rFonts w:ascii="Times New Roman" w:hAnsi="Times New Roman" w:cs="Times New Roman"/>
                <w:b/>
              </w:rPr>
            </w:pPr>
            <w:r w:rsidRPr="009F5421">
              <w:rPr>
                <w:rFonts w:ascii="Times New Roman" w:hAnsi="Times New Roman" w:cs="Times New Roman"/>
                <w:b/>
              </w:rPr>
              <w:t>B. Current Costs Per Unit</w:t>
            </w:r>
            <w:r w:rsidR="007822A5">
              <w:rPr>
                <w:rFonts w:ascii="Times New Roman" w:hAnsi="Times New Roman" w:cs="Times New Roman"/>
                <w:vertAlign w:val="superscript"/>
              </w:rPr>
              <w:t>^</w:t>
            </w:r>
          </w:p>
          <w:p w14:paraId="27A2270F" w14:textId="2D23B12F" w:rsidR="009F5421" w:rsidRPr="009F5421" w:rsidRDefault="009F5421" w:rsidP="00C32EC0">
            <w:pPr>
              <w:pStyle w:val="ListParagraph"/>
              <w:spacing w:after="0" w:line="240" w:lineRule="auto"/>
              <w:ind w:left="0"/>
              <w:rPr>
                <w:rFonts w:ascii="Times New Roman" w:hAnsi="Times New Roman" w:cs="Times New Roman"/>
              </w:rPr>
            </w:pPr>
            <w:r w:rsidRPr="009F5421">
              <w:rPr>
                <w:rFonts w:ascii="Times New Roman" w:hAnsi="Times New Roman" w:cs="Times New Roman"/>
              </w:rPr>
              <w:t xml:space="preserve">Q3. Looking back, how do your current </w:t>
            </w:r>
            <w:r w:rsidRPr="009F5421">
              <w:rPr>
                <w:rFonts w:ascii="Times New Roman" w:hAnsi="Times New Roman" w:cs="Times New Roman"/>
                <w:b/>
              </w:rPr>
              <w:t>COSTS PER UNIT</w:t>
            </w:r>
            <w:r w:rsidR="007822A5">
              <w:rPr>
                <w:rFonts w:ascii="Times New Roman" w:hAnsi="Times New Roman" w:cs="Times New Roman"/>
                <w:vertAlign w:val="superscript"/>
              </w:rPr>
              <w:t>^</w:t>
            </w:r>
            <w:r w:rsidRPr="009F5421">
              <w:rPr>
                <w:rFonts w:ascii="Times New Roman" w:hAnsi="Times New Roman" w:cs="Times New Roman"/>
                <w:b/>
              </w:rPr>
              <w:t xml:space="preserve"> </w:t>
            </w:r>
            <w:r w:rsidRPr="009F5421">
              <w:rPr>
                <w:rFonts w:ascii="Times New Roman" w:hAnsi="Times New Roman" w:cs="Times New Roman"/>
              </w:rPr>
              <w:t xml:space="preserve">compare with this time last year? </w:t>
            </w:r>
          </w:p>
          <w:p w14:paraId="12C13634" w14:textId="77777777" w:rsidR="009F5421" w:rsidRPr="009F5421" w:rsidRDefault="009F5421" w:rsidP="00C32EC0">
            <w:pPr>
              <w:pStyle w:val="ListParagraph"/>
              <w:numPr>
                <w:ilvl w:val="0"/>
                <w:numId w:val="5"/>
              </w:numPr>
              <w:spacing w:after="0" w:line="240" w:lineRule="auto"/>
              <w:rPr>
                <w:rFonts w:ascii="Times New Roman" w:hAnsi="Times New Roman" w:cs="Times New Roman"/>
              </w:rPr>
            </w:pPr>
            <w:r w:rsidRPr="009F5421">
              <w:rPr>
                <w:rFonts w:ascii="Times New Roman" w:hAnsi="Times New Roman" w:cs="Times New Roman"/>
              </w:rPr>
              <w:t>Down (&lt; -1%)</w:t>
            </w:r>
          </w:p>
          <w:p w14:paraId="194934DF" w14:textId="77777777" w:rsidR="009F5421" w:rsidRPr="009F5421" w:rsidRDefault="009F5421" w:rsidP="00C32EC0">
            <w:pPr>
              <w:pStyle w:val="ListParagraph"/>
              <w:numPr>
                <w:ilvl w:val="0"/>
                <w:numId w:val="5"/>
              </w:numPr>
              <w:spacing w:after="0" w:line="240" w:lineRule="auto"/>
              <w:rPr>
                <w:rFonts w:ascii="Times New Roman" w:hAnsi="Times New Roman" w:cs="Times New Roman"/>
              </w:rPr>
            </w:pPr>
            <w:r w:rsidRPr="009F5421">
              <w:rPr>
                <w:rFonts w:ascii="Times New Roman" w:hAnsi="Times New Roman" w:cs="Times New Roman"/>
              </w:rPr>
              <w:t>About unchanged (-1% to 1%)</w:t>
            </w:r>
          </w:p>
          <w:p w14:paraId="287E0988" w14:textId="77777777" w:rsidR="009F5421" w:rsidRPr="009F5421" w:rsidRDefault="009F5421" w:rsidP="00C32EC0">
            <w:pPr>
              <w:pStyle w:val="ListParagraph"/>
              <w:numPr>
                <w:ilvl w:val="0"/>
                <w:numId w:val="5"/>
              </w:numPr>
              <w:spacing w:after="0" w:line="240" w:lineRule="auto"/>
              <w:rPr>
                <w:rFonts w:ascii="Times New Roman" w:hAnsi="Times New Roman" w:cs="Times New Roman"/>
              </w:rPr>
            </w:pPr>
            <w:r w:rsidRPr="009F5421">
              <w:rPr>
                <w:rFonts w:ascii="Times New Roman" w:hAnsi="Times New Roman" w:cs="Times New Roman"/>
              </w:rPr>
              <w:t>Up somewhat (1.1% to 3%)</w:t>
            </w:r>
          </w:p>
          <w:p w14:paraId="06407AEE" w14:textId="77777777" w:rsidR="009F5421" w:rsidRPr="009F5421" w:rsidRDefault="009F5421" w:rsidP="00C32EC0">
            <w:pPr>
              <w:pStyle w:val="ListParagraph"/>
              <w:numPr>
                <w:ilvl w:val="0"/>
                <w:numId w:val="5"/>
              </w:numPr>
              <w:spacing w:after="0" w:line="240" w:lineRule="auto"/>
              <w:rPr>
                <w:rFonts w:ascii="Times New Roman" w:hAnsi="Times New Roman" w:cs="Times New Roman"/>
              </w:rPr>
            </w:pPr>
            <w:r w:rsidRPr="009F5421">
              <w:rPr>
                <w:rFonts w:ascii="Times New Roman" w:hAnsi="Times New Roman" w:cs="Times New Roman"/>
              </w:rPr>
              <w:t>Up moderately (3.1% to 6%)</w:t>
            </w:r>
          </w:p>
          <w:p w14:paraId="72B8ABBD" w14:textId="77777777" w:rsidR="009F5421" w:rsidRPr="009F5421" w:rsidRDefault="009F5421" w:rsidP="00C32EC0">
            <w:pPr>
              <w:pStyle w:val="ListParagraph"/>
              <w:numPr>
                <w:ilvl w:val="0"/>
                <w:numId w:val="5"/>
              </w:numPr>
              <w:spacing w:after="0" w:line="240" w:lineRule="auto"/>
              <w:rPr>
                <w:rFonts w:ascii="Times New Roman" w:hAnsi="Times New Roman" w:cs="Times New Roman"/>
              </w:rPr>
            </w:pPr>
            <w:r w:rsidRPr="009F5421">
              <w:rPr>
                <w:rFonts w:ascii="Times New Roman" w:hAnsi="Times New Roman" w:cs="Times New Roman"/>
              </w:rPr>
              <w:t>Up significantly (6.1% to 10%)</w:t>
            </w:r>
          </w:p>
          <w:p w14:paraId="31A1631A" w14:textId="1105A8A9" w:rsidR="009F5421" w:rsidRDefault="009F5421" w:rsidP="00C32EC0">
            <w:pPr>
              <w:pStyle w:val="ListParagraph"/>
              <w:numPr>
                <w:ilvl w:val="0"/>
                <w:numId w:val="5"/>
              </w:numPr>
              <w:spacing w:after="0" w:line="240" w:lineRule="auto"/>
              <w:rPr>
                <w:rFonts w:ascii="Times New Roman" w:hAnsi="Times New Roman" w:cs="Times New Roman"/>
              </w:rPr>
            </w:pPr>
            <w:r w:rsidRPr="009F5421">
              <w:rPr>
                <w:rFonts w:ascii="Times New Roman" w:hAnsi="Times New Roman" w:cs="Times New Roman"/>
              </w:rPr>
              <w:t xml:space="preserve">Up very significantly </w:t>
            </w:r>
            <w:r w:rsidR="002B2E73" w:rsidRPr="009F5421">
              <w:rPr>
                <w:rFonts w:ascii="Times New Roman" w:hAnsi="Times New Roman" w:cs="Times New Roman"/>
              </w:rPr>
              <w:t>(&gt;</w:t>
            </w:r>
            <w:r w:rsidRPr="009F5421">
              <w:rPr>
                <w:rFonts w:ascii="Times New Roman" w:hAnsi="Times New Roman" w:cs="Times New Roman"/>
              </w:rPr>
              <w:t xml:space="preserve"> 10%)</w:t>
            </w:r>
          </w:p>
          <w:p w14:paraId="21240355" w14:textId="77777777" w:rsidR="002B2E73" w:rsidRPr="009F5421" w:rsidRDefault="002B2E73" w:rsidP="00C32EC0">
            <w:pPr>
              <w:pStyle w:val="ListParagraph"/>
              <w:numPr>
                <w:ilvl w:val="0"/>
                <w:numId w:val="5"/>
              </w:numPr>
              <w:spacing w:after="0" w:line="240" w:lineRule="auto"/>
              <w:rPr>
                <w:rFonts w:ascii="Times New Roman" w:hAnsi="Times New Roman" w:cs="Times New Roman"/>
              </w:rPr>
            </w:pPr>
          </w:p>
          <w:p w14:paraId="614A90B3" w14:textId="77777777" w:rsidR="009F5421" w:rsidRDefault="007822A5" w:rsidP="00C32EC0">
            <w:pPr>
              <w:spacing w:after="0" w:line="240" w:lineRule="auto"/>
              <w:contextualSpacing/>
              <w:rPr>
                <w:rFonts w:ascii="Times New Roman" w:hAnsi="Times New Roman" w:cs="Times New Roman"/>
                <w:i/>
              </w:rPr>
            </w:pPr>
            <w:r>
              <w:rPr>
                <w:rFonts w:ascii="Times New Roman" w:hAnsi="Times New Roman" w:cs="Times New Roman"/>
                <w:i/>
                <w:vertAlign w:val="superscript"/>
              </w:rPr>
              <w:lastRenderedPageBreak/>
              <w:t>^</w:t>
            </w:r>
            <w:r w:rsidR="009F5421" w:rsidRPr="009F5421">
              <w:rPr>
                <w:rFonts w:ascii="Times New Roman" w:hAnsi="Times New Roman" w:cs="Times New Roman"/>
                <w:i/>
                <w:vertAlign w:val="superscript"/>
              </w:rPr>
              <w:t xml:space="preserve">   </w:t>
            </w:r>
            <w:r w:rsidR="009F5421" w:rsidRPr="009F5421">
              <w:rPr>
                <w:rFonts w:ascii="Times New Roman" w:hAnsi="Times New Roman" w:cs="Times New Roman"/>
                <w:i/>
              </w:rPr>
              <w:t>of the main or most important product in terms of sales.</w:t>
            </w:r>
          </w:p>
          <w:p w14:paraId="67605FAC" w14:textId="4D2D6362" w:rsidR="002B2E73" w:rsidRPr="009F5421" w:rsidRDefault="002B2E73" w:rsidP="00C32EC0">
            <w:pPr>
              <w:spacing w:after="0" w:line="240" w:lineRule="auto"/>
              <w:contextualSpacing/>
              <w:rPr>
                <w:rFonts w:ascii="Times New Roman" w:hAnsi="Times New Roman" w:cs="Times New Roman"/>
                <w:b/>
                <w:i/>
              </w:rPr>
            </w:pPr>
          </w:p>
        </w:tc>
      </w:tr>
      <w:tr w:rsidR="009F5421" w:rsidRPr="009F5421" w14:paraId="00AB4649" w14:textId="77777777" w:rsidTr="00E0056C">
        <w:tc>
          <w:tcPr>
            <w:tcW w:w="9810" w:type="dxa"/>
          </w:tcPr>
          <w:p w14:paraId="68E513D6" w14:textId="0AD847BD" w:rsidR="009F5421" w:rsidRPr="009F5421" w:rsidRDefault="009F5421" w:rsidP="00C32EC0">
            <w:pPr>
              <w:pStyle w:val="ListParagraph"/>
              <w:spacing w:after="0" w:line="240" w:lineRule="auto"/>
              <w:ind w:left="0"/>
              <w:rPr>
                <w:rFonts w:ascii="Times New Roman" w:hAnsi="Times New Roman" w:cs="Times New Roman"/>
                <w:b/>
              </w:rPr>
            </w:pPr>
            <w:r w:rsidRPr="009F5421">
              <w:rPr>
                <w:rFonts w:ascii="Times New Roman" w:hAnsi="Times New Roman" w:cs="Times New Roman"/>
                <w:b/>
              </w:rPr>
              <w:lastRenderedPageBreak/>
              <w:t>C. Forward Looking Costs Per Unit</w:t>
            </w:r>
            <w:r w:rsidR="00A44EBC">
              <w:rPr>
                <w:rFonts w:ascii="Times New Roman" w:hAnsi="Times New Roman" w:cs="Times New Roman"/>
                <w:vertAlign w:val="superscript"/>
              </w:rPr>
              <w:t>$</w:t>
            </w:r>
          </w:p>
          <w:p w14:paraId="4EC05E36" w14:textId="37E18B5B" w:rsidR="009F5421" w:rsidRPr="009F5421" w:rsidRDefault="009F5421" w:rsidP="00C32EC0">
            <w:pPr>
              <w:pStyle w:val="Default"/>
              <w:jc w:val="both"/>
              <w:rPr>
                <w:rFonts w:ascii="Times New Roman" w:hAnsi="Times New Roman" w:cs="Times New Roman"/>
                <w:color w:val="auto"/>
                <w:sz w:val="22"/>
                <w:szCs w:val="22"/>
              </w:rPr>
            </w:pPr>
            <w:r w:rsidRPr="009F5421">
              <w:rPr>
                <w:rFonts w:ascii="Times New Roman" w:hAnsi="Times New Roman" w:cs="Times New Roman"/>
                <w:color w:val="auto"/>
                <w:sz w:val="22"/>
                <w:szCs w:val="22"/>
              </w:rPr>
              <w:t>Q4. Projecting ahead, to the best of your ability, please assign a percent likelihood</w:t>
            </w:r>
            <w:r w:rsidR="00343E59">
              <w:rPr>
                <w:rFonts w:ascii="Times New Roman" w:hAnsi="Times New Roman" w:cs="Times New Roman"/>
                <w:color w:val="auto"/>
                <w:sz w:val="22"/>
                <w:szCs w:val="22"/>
              </w:rPr>
              <w:t xml:space="preserve"> </w:t>
            </w:r>
            <w:r w:rsidRPr="009F5421">
              <w:rPr>
                <w:rFonts w:ascii="Times New Roman" w:hAnsi="Times New Roman" w:cs="Times New Roman"/>
                <w:color w:val="auto"/>
                <w:sz w:val="22"/>
                <w:szCs w:val="22"/>
              </w:rPr>
              <w:t>(probability) to the following changes to costs per unit</w:t>
            </w:r>
            <w:r w:rsidR="00A44EBC">
              <w:rPr>
                <w:rFonts w:ascii="Times New Roman" w:hAnsi="Times New Roman" w:cs="Times New Roman"/>
                <w:sz w:val="22"/>
                <w:szCs w:val="22"/>
                <w:vertAlign w:val="superscript"/>
              </w:rPr>
              <w:t>$</w:t>
            </w:r>
            <w:r w:rsidRPr="009F5421">
              <w:rPr>
                <w:rFonts w:ascii="Times New Roman" w:hAnsi="Times New Roman" w:cs="Times New Roman"/>
                <w:color w:val="auto"/>
                <w:sz w:val="22"/>
                <w:szCs w:val="22"/>
              </w:rPr>
              <w:t xml:space="preserve"> over the next 12 months. </w:t>
            </w:r>
          </w:p>
          <w:p w14:paraId="44EB25FE" w14:textId="77777777" w:rsidR="009F5421" w:rsidRPr="009F5421" w:rsidRDefault="009F5421" w:rsidP="00C32EC0">
            <w:pPr>
              <w:pStyle w:val="Default"/>
              <w:jc w:val="both"/>
              <w:rPr>
                <w:rFonts w:ascii="Times New Roman" w:hAnsi="Times New Roman" w:cs="Times New Roman"/>
                <w:color w:val="auto"/>
                <w:sz w:val="22"/>
                <w:szCs w:val="22"/>
              </w:rPr>
            </w:pPr>
          </w:p>
          <w:tbl>
            <w:tblPr>
              <w:tblpPr w:leftFromText="180" w:rightFromText="180" w:vertAnchor="text" w:horzAnchor="margin" w:tblpXSpec="right" w:tblpY="3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8"/>
            </w:tblGrid>
            <w:tr w:rsidR="009F5421" w:rsidRPr="009F5421" w14:paraId="5D629786" w14:textId="77777777" w:rsidTr="00E0056C">
              <w:trPr>
                <w:trHeight w:val="348"/>
              </w:trPr>
              <w:tc>
                <w:tcPr>
                  <w:tcW w:w="1368" w:type="dxa"/>
                </w:tcPr>
                <w:p w14:paraId="0C1D5C17" w14:textId="77777777" w:rsidR="009F5421" w:rsidRPr="009F5421" w:rsidRDefault="009F5421" w:rsidP="00C32EC0">
                  <w:pPr>
                    <w:pStyle w:val="Default"/>
                    <w:jc w:val="center"/>
                    <w:rPr>
                      <w:rFonts w:ascii="Times New Roman" w:hAnsi="Times New Roman" w:cs="Times New Roman"/>
                      <w:color w:val="auto"/>
                      <w:sz w:val="22"/>
                      <w:szCs w:val="22"/>
                    </w:rPr>
                  </w:pPr>
                  <w:r w:rsidRPr="009F5421">
                    <w:rPr>
                      <w:rFonts w:ascii="Times New Roman" w:hAnsi="Times New Roman" w:cs="Times New Roman"/>
                      <w:color w:val="auto"/>
                      <w:sz w:val="22"/>
                      <w:szCs w:val="22"/>
                    </w:rPr>
                    <w:t>%</w:t>
                  </w:r>
                </w:p>
              </w:tc>
            </w:tr>
            <w:tr w:rsidR="009F5421" w:rsidRPr="009F5421" w14:paraId="21B5BDCE" w14:textId="77777777" w:rsidTr="00E0056C">
              <w:trPr>
                <w:trHeight w:val="249"/>
              </w:trPr>
              <w:tc>
                <w:tcPr>
                  <w:tcW w:w="1368" w:type="dxa"/>
                </w:tcPr>
                <w:p w14:paraId="2A5BE039" w14:textId="77777777" w:rsidR="009F5421" w:rsidRPr="009F5421" w:rsidRDefault="009F5421" w:rsidP="00C32EC0">
                  <w:pPr>
                    <w:pStyle w:val="Default"/>
                    <w:jc w:val="center"/>
                    <w:rPr>
                      <w:rFonts w:ascii="Times New Roman" w:hAnsi="Times New Roman" w:cs="Times New Roman"/>
                      <w:color w:val="auto"/>
                      <w:sz w:val="22"/>
                      <w:szCs w:val="22"/>
                    </w:rPr>
                  </w:pPr>
                  <w:r w:rsidRPr="009F5421">
                    <w:rPr>
                      <w:rFonts w:ascii="Times New Roman" w:hAnsi="Times New Roman" w:cs="Times New Roman"/>
                      <w:color w:val="auto"/>
                      <w:sz w:val="22"/>
                      <w:szCs w:val="22"/>
                    </w:rPr>
                    <w:t>%</w:t>
                  </w:r>
                </w:p>
              </w:tc>
            </w:tr>
            <w:tr w:rsidR="009F5421" w:rsidRPr="009F5421" w14:paraId="1B5A00A3" w14:textId="77777777" w:rsidTr="00E0056C">
              <w:trPr>
                <w:trHeight w:val="330"/>
              </w:trPr>
              <w:tc>
                <w:tcPr>
                  <w:tcW w:w="1368" w:type="dxa"/>
                </w:tcPr>
                <w:p w14:paraId="543F4C2B" w14:textId="77777777" w:rsidR="009F5421" w:rsidRPr="009F5421" w:rsidRDefault="009F5421" w:rsidP="00C32EC0">
                  <w:pPr>
                    <w:pStyle w:val="Default"/>
                    <w:jc w:val="center"/>
                    <w:rPr>
                      <w:rFonts w:ascii="Times New Roman" w:hAnsi="Times New Roman" w:cs="Times New Roman"/>
                      <w:color w:val="auto"/>
                      <w:sz w:val="22"/>
                      <w:szCs w:val="22"/>
                    </w:rPr>
                  </w:pPr>
                  <w:r w:rsidRPr="009F5421">
                    <w:rPr>
                      <w:rFonts w:ascii="Times New Roman" w:hAnsi="Times New Roman" w:cs="Times New Roman"/>
                      <w:color w:val="auto"/>
                      <w:sz w:val="22"/>
                      <w:szCs w:val="22"/>
                    </w:rPr>
                    <w:t>%</w:t>
                  </w:r>
                </w:p>
              </w:tc>
            </w:tr>
            <w:tr w:rsidR="009F5421" w:rsidRPr="009F5421" w14:paraId="6AC261C8" w14:textId="77777777" w:rsidTr="00E0056C">
              <w:trPr>
                <w:trHeight w:val="357"/>
              </w:trPr>
              <w:tc>
                <w:tcPr>
                  <w:tcW w:w="1368" w:type="dxa"/>
                </w:tcPr>
                <w:p w14:paraId="66D74015" w14:textId="77777777" w:rsidR="009F5421" w:rsidRPr="009F5421" w:rsidRDefault="009F5421" w:rsidP="00C32EC0">
                  <w:pPr>
                    <w:pStyle w:val="Default"/>
                    <w:jc w:val="center"/>
                    <w:rPr>
                      <w:rFonts w:ascii="Times New Roman" w:hAnsi="Times New Roman" w:cs="Times New Roman"/>
                      <w:color w:val="auto"/>
                      <w:sz w:val="22"/>
                      <w:szCs w:val="22"/>
                    </w:rPr>
                  </w:pPr>
                  <w:r w:rsidRPr="009F5421">
                    <w:rPr>
                      <w:rFonts w:ascii="Times New Roman" w:hAnsi="Times New Roman" w:cs="Times New Roman"/>
                      <w:color w:val="auto"/>
                      <w:sz w:val="22"/>
                      <w:szCs w:val="22"/>
                    </w:rPr>
                    <w:t>%</w:t>
                  </w:r>
                </w:p>
              </w:tc>
            </w:tr>
            <w:tr w:rsidR="009F5421" w:rsidRPr="009F5421" w14:paraId="0DB56C05" w14:textId="77777777" w:rsidTr="00E0056C">
              <w:trPr>
                <w:trHeight w:val="276"/>
              </w:trPr>
              <w:tc>
                <w:tcPr>
                  <w:tcW w:w="1368" w:type="dxa"/>
                </w:tcPr>
                <w:p w14:paraId="3E2E3509" w14:textId="77777777" w:rsidR="009F5421" w:rsidRPr="009F5421" w:rsidRDefault="009F5421" w:rsidP="00C32EC0">
                  <w:pPr>
                    <w:pStyle w:val="Default"/>
                    <w:jc w:val="center"/>
                    <w:rPr>
                      <w:rFonts w:ascii="Times New Roman" w:hAnsi="Times New Roman" w:cs="Times New Roman"/>
                      <w:color w:val="auto"/>
                      <w:sz w:val="22"/>
                      <w:szCs w:val="22"/>
                    </w:rPr>
                  </w:pPr>
                  <w:r w:rsidRPr="009F5421">
                    <w:rPr>
                      <w:rFonts w:ascii="Times New Roman" w:hAnsi="Times New Roman" w:cs="Times New Roman"/>
                      <w:color w:val="auto"/>
                      <w:sz w:val="22"/>
                      <w:szCs w:val="22"/>
                    </w:rPr>
                    <w:t>%</w:t>
                  </w:r>
                </w:p>
              </w:tc>
            </w:tr>
            <w:tr w:rsidR="009F5421" w:rsidRPr="009F5421" w14:paraId="3734B6AB" w14:textId="77777777" w:rsidTr="00E0056C">
              <w:trPr>
                <w:trHeight w:val="276"/>
              </w:trPr>
              <w:tc>
                <w:tcPr>
                  <w:tcW w:w="1368" w:type="dxa"/>
                </w:tcPr>
                <w:p w14:paraId="03FDB5D1" w14:textId="77777777" w:rsidR="009F5421" w:rsidRPr="009F5421" w:rsidRDefault="009F5421" w:rsidP="00C32EC0">
                  <w:pPr>
                    <w:pStyle w:val="Default"/>
                    <w:jc w:val="center"/>
                    <w:rPr>
                      <w:rFonts w:ascii="Times New Roman" w:hAnsi="Times New Roman" w:cs="Times New Roman"/>
                      <w:color w:val="auto"/>
                      <w:sz w:val="22"/>
                      <w:szCs w:val="22"/>
                    </w:rPr>
                  </w:pPr>
                  <w:r w:rsidRPr="009F5421">
                    <w:rPr>
                      <w:rFonts w:ascii="Times New Roman" w:hAnsi="Times New Roman" w:cs="Times New Roman"/>
                      <w:color w:val="auto"/>
                      <w:sz w:val="22"/>
                      <w:szCs w:val="22"/>
                    </w:rPr>
                    <w:t>%</w:t>
                  </w:r>
                </w:p>
              </w:tc>
            </w:tr>
          </w:tbl>
          <w:p w14:paraId="7C508A3F" w14:textId="77777777" w:rsidR="009F5421" w:rsidRPr="009F5421" w:rsidRDefault="009F5421" w:rsidP="00C32EC0">
            <w:pPr>
              <w:pStyle w:val="ListParagraph"/>
              <w:numPr>
                <w:ilvl w:val="0"/>
                <w:numId w:val="6"/>
              </w:numPr>
              <w:spacing w:after="0" w:line="240" w:lineRule="auto"/>
              <w:rPr>
                <w:rFonts w:ascii="Times New Roman" w:hAnsi="Times New Roman" w:cs="Times New Roman"/>
              </w:rPr>
            </w:pPr>
            <w:r w:rsidRPr="009F5421">
              <w:rPr>
                <w:rFonts w:ascii="Times New Roman" w:hAnsi="Times New Roman" w:cs="Times New Roman"/>
              </w:rPr>
              <w:t xml:space="preserve">Unit costs down (less than -1%)           </w:t>
            </w:r>
          </w:p>
          <w:p w14:paraId="38D481B5" w14:textId="77777777" w:rsidR="009F5421" w:rsidRPr="009F5421" w:rsidRDefault="009F5421" w:rsidP="00C32EC0">
            <w:pPr>
              <w:pStyle w:val="ListParagraph"/>
              <w:numPr>
                <w:ilvl w:val="0"/>
                <w:numId w:val="6"/>
              </w:numPr>
              <w:spacing w:after="0" w:line="240" w:lineRule="auto"/>
              <w:rPr>
                <w:rFonts w:ascii="Times New Roman" w:hAnsi="Times New Roman" w:cs="Times New Roman"/>
              </w:rPr>
            </w:pPr>
            <w:r w:rsidRPr="009F5421">
              <w:rPr>
                <w:rFonts w:ascii="Times New Roman" w:hAnsi="Times New Roman" w:cs="Times New Roman"/>
              </w:rPr>
              <w:t>Unit costs about unchanged (-1% to 1%)</w:t>
            </w:r>
          </w:p>
          <w:p w14:paraId="4B80C91B" w14:textId="77777777" w:rsidR="009F5421" w:rsidRPr="009F5421" w:rsidRDefault="009F5421" w:rsidP="00C32EC0">
            <w:pPr>
              <w:pStyle w:val="ListParagraph"/>
              <w:numPr>
                <w:ilvl w:val="0"/>
                <w:numId w:val="6"/>
              </w:numPr>
              <w:spacing w:after="0" w:line="240" w:lineRule="auto"/>
              <w:rPr>
                <w:rFonts w:ascii="Times New Roman" w:hAnsi="Times New Roman" w:cs="Times New Roman"/>
              </w:rPr>
            </w:pPr>
            <w:r w:rsidRPr="009F5421">
              <w:rPr>
                <w:rFonts w:ascii="Times New Roman" w:hAnsi="Times New Roman" w:cs="Times New Roman"/>
              </w:rPr>
              <w:t>Unit costs up somewhat (1.1% to 3%)</w:t>
            </w:r>
          </w:p>
          <w:p w14:paraId="26AFEE2C" w14:textId="77777777" w:rsidR="009F5421" w:rsidRPr="009F5421" w:rsidRDefault="009F5421" w:rsidP="00C32EC0">
            <w:pPr>
              <w:pStyle w:val="ListParagraph"/>
              <w:numPr>
                <w:ilvl w:val="0"/>
                <w:numId w:val="6"/>
              </w:numPr>
              <w:spacing w:after="0" w:line="240" w:lineRule="auto"/>
              <w:rPr>
                <w:rFonts w:ascii="Times New Roman" w:hAnsi="Times New Roman" w:cs="Times New Roman"/>
              </w:rPr>
            </w:pPr>
            <w:r w:rsidRPr="009F5421">
              <w:rPr>
                <w:rFonts w:ascii="Times New Roman" w:hAnsi="Times New Roman" w:cs="Times New Roman"/>
              </w:rPr>
              <w:t>Unit costs up moderately (3.1% to 6%)</w:t>
            </w:r>
          </w:p>
          <w:p w14:paraId="4650CDE6" w14:textId="77777777" w:rsidR="009F5421" w:rsidRPr="009F5421" w:rsidRDefault="009F5421" w:rsidP="00C32EC0">
            <w:pPr>
              <w:pStyle w:val="ListParagraph"/>
              <w:numPr>
                <w:ilvl w:val="0"/>
                <w:numId w:val="6"/>
              </w:numPr>
              <w:spacing w:after="0" w:line="240" w:lineRule="auto"/>
              <w:rPr>
                <w:rFonts w:ascii="Times New Roman" w:hAnsi="Times New Roman" w:cs="Times New Roman"/>
              </w:rPr>
            </w:pPr>
            <w:r w:rsidRPr="009F5421">
              <w:rPr>
                <w:rFonts w:ascii="Times New Roman" w:hAnsi="Times New Roman" w:cs="Times New Roman"/>
              </w:rPr>
              <w:t>Unit costs up significantly (6.1% to 10%)</w:t>
            </w:r>
          </w:p>
          <w:p w14:paraId="24F7C813" w14:textId="4C79E0AC" w:rsidR="009F5421" w:rsidRPr="009F5421" w:rsidRDefault="009F5421" w:rsidP="00C32EC0">
            <w:pPr>
              <w:pStyle w:val="ListParagraph"/>
              <w:numPr>
                <w:ilvl w:val="0"/>
                <w:numId w:val="6"/>
              </w:numPr>
              <w:spacing w:after="0" w:line="240" w:lineRule="auto"/>
              <w:rPr>
                <w:rFonts w:ascii="Times New Roman" w:hAnsi="Times New Roman" w:cs="Times New Roman"/>
              </w:rPr>
            </w:pPr>
            <w:r w:rsidRPr="009F5421">
              <w:rPr>
                <w:rFonts w:ascii="Times New Roman" w:hAnsi="Times New Roman" w:cs="Times New Roman"/>
              </w:rPr>
              <w:t xml:space="preserve">Unit costs up very significantly </w:t>
            </w:r>
            <w:r w:rsidR="002B2E73" w:rsidRPr="009F5421">
              <w:rPr>
                <w:rFonts w:ascii="Times New Roman" w:hAnsi="Times New Roman" w:cs="Times New Roman"/>
              </w:rPr>
              <w:t>(&gt;</w:t>
            </w:r>
            <w:r w:rsidRPr="009F5421">
              <w:rPr>
                <w:rFonts w:ascii="Times New Roman" w:hAnsi="Times New Roman" w:cs="Times New Roman"/>
              </w:rPr>
              <w:t>10%)</w:t>
            </w:r>
          </w:p>
          <w:p w14:paraId="14765671" w14:textId="77777777" w:rsidR="009F5421" w:rsidRDefault="009F5421" w:rsidP="00C32EC0">
            <w:pPr>
              <w:spacing w:after="0" w:line="240" w:lineRule="auto"/>
              <w:contextualSpacing/>
              <w:rPr>
                <w:rFonts w:ascii="Times New Roman" w:hAnsi="Times New Roman" w:cs="Times New Roman"/>
                <w:i/>
                <w:vertAlign w:val="superscript"/>
              </w:rPr>
            </w:pPr>
          </w:p>
          <w:p w14:paraId="6CA33490" w14:textId="788FD362" w:rsidR="009F5421" w:rsidRPr="009F5421" w:rsidRDefault="00A44EBC" w:rsidP="00C32EC0">
            <w:pPr>
              <w:spacing w:after="0" w:line="240" w:lineRule="auto"/>
              <w:contextualSpacing/>
              <w:rPr>
                <w:rFonts w:ascii="Times New Roman" w:hAnsi="Times New Roman" w:cs="Times New Roman"/>
                <w:i/>
              </w:rPr>
            </w:pPr>
            <w:r>
              <w:rPr>
                <w:rFonts w:ascii="Times New Roman" w:hAnsi="Times New Roman" w:cs="Times New Roman"/>
                <w:i/>
                <w:vertAlign w:val="superscript"/>
              </w:rPr>
              <w:t>$</w:t>
            </w:r>
            <w:r w:rsidR="009F5421" w:rsidRPr="009F5421">
              <w:rPr>
                <w:rFonts w:ascii="Times New Roman" w:hAnsi="Times New Roman" w:cs="Times New Roman"/>
                <w:i/>
                <w:vertAlign w:val="superscript"/>
              </w:rPr>
              <w:t xml:space="preserve">   </w:t>
            </w:r>
            <w:r w:rsidR="009F5421" w:rsidRPr="009F5421">
              <w:rPr>
                <w:rFonts w:ascii="Times New Roman" w:hAnsi="Times New Roman" w:cs="Times New Roman"/>
                <w:i/>
              </w:rPr>
              <w:t>of the main or most important product in terms of sales.</w:t>
            </w:r>
          </w:p>
          <w:p w14:paraId="2AB519CB" w14:textId="1ADEDA16" w:rsidR="009F5421" w:rsidRPr="002B2E73" w:rsidRDefault="009F5421" w:rsidP="00C32EC0">
            <w:pPr>
              <w:spacing w:after="0" w:line="240" w:lineRule="auto"/>
              <w:contextualSpacing/>
              <w:rPr>
                <w:rFonts w:ascii="Times New Roman" w:hAnsi="Times New Roman" w:cs="Times New Roman"/>
                <w:b/>
                <w:bCs/>
              </w:rPr>
            </w:pPr>
            <w:r w:rsidRPr="002B2E73">
              <w:rPr>
                <w:rFonts w:ascii="Times New Roman" w:hAnsi="Times New Roman" w:cs="Times New Roman"/>
                <w:b/>
                <w:bCs/>
                <w:i/>
              </w:rPr>
              <w:t>Values should add up to 100%</w:t>
            </w:r>
            <w:r w:rsidRPr="002B2E73">
              <w:rPr>
                <w:rFonts w:ascii="Times New Roman" w:hAnsi="Times New Roman" w:cs="Times New Roman"/>
                <w:b/>
                <w:bCs/>
              </w:rPr>
              <w:t>.</w:t>
            </w:r>
          </w:p>
        </w:tc>
      </w:tr>
    </w:tbl>
    <w:p w14:paraId="51EB5A77" w14:textId="77777777" w:rsidR="009F5421" w:rsidRPr="00925659" w:rsidRDefault="009F5421" w:rsidP="00C32EC0">
      <w:pPr>
        <w:spacing w:after="0" w:line="240" w:lineRule="auto"/>
        <w:jc w:val="center"/>
        <w:rPr>
          <w:b/>
          <w:sz w:val="32"/>
          <w:szCs w:val="32"/>
        </w:rPr>
      </w:pPr>
    </w:p>
    <w:sectPr w:rsidR="009F5421" w:rsidRPr="00925659" w:rsidSect="00211F50">
      <w:headerReference w:type="default" r:id="rId15"/>
      <w:footerReference w:type="default" r:id="rId16"/>
      <w:pgSz w:w="11900" w:h="16840"/>
      <w:pgMar w:top="720" w:right="720" w:bottom="720" w:left="720" w:header="567" w:footer="1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96E4C6" w14:textId="77777777" w:rsidR="00982BB8" w:rsidRDefault="00982BB8" w:rsidP="00B81990">
      <w:pPr>
        <w:spacing w:after="0" w:line="240" w:lineRule="auto"/>
      </w:pPr>
      <w:r>
        <w:separator/>
      </w:r>
    </w:p>
  </w:endnote>
  <w:endnote w:type="continuationSeparator" w:id="0">
    <w:p w14:paraId="74EEB15A" w14:textId="77777777" w:rsidR="00982BB8" w:rsidRDefault="00982BB8" w:rsidP="00B819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ngal">
    <w:panose1 w:val="00000400000000000000"/>
    <w:charset w:val="00"/>
    <w:family w:val="auto"/>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64798931"/>
      <w:docPartObj>
        <w:docPartGallery w:val="Page Numbers (Bottom of Page)"/>
        <w:docPartUnique/>
      </w:docPartObj>
    </w:sdtPr>
    <w:sdtEndPr>
      <w:rPr>
        <w:rFonts w:ascii="Times New Roman" w:hAnsi="Times New Roman" w:cs="Times New Roman"/>
        <w:noProof/>
      </w:rPr>
    </w:sdtEndPr>
    <w:sdtContent>
      <w:p w14:paraId="0405DCBC" w14:textId="0EC56D02" w:rsidR="008007DF" w:rsidRPr="003705BC" w:rsidRDefault="008007DF">
        <w:pPr>
          <w:pStyle w:val="Footer"/>
          <w:jc w:val="center"/>
          <w:rPr>
            <w:rFonts w:ascii="Times New Roman" w:hAnsi="Times New Roman" w:cs="Times New Roman"/>
          </w:rPr>
        </w:pPr>
        <w:r w:rsidRPr="003705BC">
          <w:rPr>
            <w:rFonts w:ascii="Times New Roman" w:hAnsi="Times New Roman" w:cs="Times New Roman"/>
          </w:rPr>
          <w:fldChar w:fldCharType="begin"/>
        </w:r>
        <w:r w:rsidRPr="003705BC">
          <w:rPr>
            <w:rFonts w:ascii="Times New Roman" w:hAnsi="Times New Roman" w:cs="Times New Roman"/>
          </w:rPr>
          <w:instrText xml:space="preserve"> PAGE   \* MERGEFORMAT </w:instrText>
        </w:r>
        <w:r w:rsidRPr="003705BC">
          <w:rPr>
            <w:rFonts w:ascii="Times New Roman" w:hAnsi="Times New Roman" w:cs="Times New Roman"/>
          </w:rPr>
          <w:fldChar w:fldCharType="separate"/>
        </w:r>
        <w:r w:rsidR="00E47676">
          <w:rPr>
            <w:rFonts w:ascii="Times New Roman" w:hAnsi="Times New Roman" w:cs="Times New Roman"/>
            <w:noProof/>
          </w:rPr>
          <w:t>4</w:t>
        </w:r>
        <w:r w:rsidRPr="003705BC">
          <w:rPr>
            <w:rFonts w:ascii="Times New Roman" w:hAnsi="Times New Roman" w:cs="Times New Roman"/>
            <w:noProof/>
          </w:rPr>
          <w:fldChar w:fldCharType="end"/>
        </w:r>
      </w:p>
    </w:sdtContent>
  </w:sdt>
  <w:p w14:paraId="000FC5F3" w14:textId="77777777" w:rsidR="008007DF" w:rsidRDefault="008007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EC3197" w14:textId="77777777" w:rsidR="00982BB8" w:rsidRDefault="00982BB8" w:rsidP="00B81990">
      <w:pPr>
        <w:spacing w:after="0" w:line="240" w:lineRule="auto"/>
      </w:pPr>
      <w:r>
        <w:separator/>
      </w:r>
    </w:p>
  </w:footnote>
  <w:footnote w:type="continuationSeparator" w:id="0">
    <w:p w14:paraId="58EAA2BE" w14:textId="77777777" w:rsidR="00982BB8" w:rsidRDefault="00982BB8" w:rsidP="00B81990">
      <w:pPr>
        <w:spacing w:after="0" w:line="240" w:lineRule="auto"/>
      </w:pPr>
      <w:r>
        <w:continuationSeparator/>
      </w:r>
    </w:p>
  </w:footnote>
  <w:footnote w:id="1">
    <w:p w14:paraId="71099687" w14:textId="055AD208" w:rsidR="00727C41" w:rsidRPr="00727F1A" w:rsidRDefault="00727C41" w:rsidP="00727C41">
      <w:pPr>
        <w:spacing w:after="0" w:line="240" w:lineRule="auto"/>
        <w:rPr>
          <w:rFonts w:ascii="Times New Roman" w:hAnsi="Times New Roman" w:cs="Times New Roman"/>
          <w:sz w:val="20"/>
          <w:szCs w:val="20"/>
        </w:rPr>
      </w:pPr>
      <w:r w:rsidRPr="00727F1A">
        <w:rPr>
          <w:rStyle w:val="FootnoteReference"/>
        </w:rPr>
        <w:footnoteRef/>
      </w:r>
      <w:r w:rsidRPr="00727F1A">
        <w:t xml:space="preserve"> </w:t>
      </w:r>
      <w:r w:rsidRPr="00727F1A">
        <w:rPr>
          <w:rFonts w:ascii="Times New Roman" w:hAnsi="Times New Roman" w:cs="Times New Roman"/>
          <w:vertAlign w:val="superscript"/>
        </w:rPr>
        <w:t xml:space="preserve"> </w:t>
      </w:r>
      <w:r w:rsidRPr="00727F1A">
        <w:rPr>
          <w:rFonts w:ascii="Times New Roman" w:hAnsi="Times New Roman" w:cs="Times New Roman"/>
          <w:sz w:val="20"/>
          <w:szCs w:val="20"/>
        </w:rPr>
        <w:t>"Normal" means as compared to the average level obtained in the preceding 3 years.</w:t>
      </w:r>
      <w:r>
        <w:rPr>
          <w:rFonts w:ascii="Times New Roman" w:hAnsi="Times New Roman" w:cs="Times New Roman"/>
          <w:sz w:val="20"/>
          <w:szCs w:val="20"/>
        </w:rPr>
        <w:t xml:space="preserve"> </w:t>
      </w:r>
      <w:r w:rsidR="0000342E">
        <w:rPr>
          <w:rFonts w:ascii="Times New Roman" w:hAnsi="Times New Roman" w:cs="Times New Roman"/>
          <w:sz w:val="20"/>
          <w:szCs w:val="20"/>
        </w:rPr>
        <w:t>Data o</w:t>
      </w:r>
      <w:r w:rsidR="00906256">
        <w:rPr>
          <w:rFonts w:ascii="Times New Roman" w:hAnsi="Times New Roman" w:cs="Times New Roman"/>
          <w:sz w:val="20"/>
          <w:szCs w:val="20"/>
        </w:rPr>
        <w:t>f</w:t>
      </w:r>
      <w:r w:rsidR="0000342E">
        <w:rPr>
          <w:rFonts w:ascii="Times New Roman" w:hAnsi="Times New Roman" w:cs="Times New Roman"/>
          <w:sz w:val="20"/>
          <w:szCs w:val="20"/>
        </w:rPr>
        <w:t xml:space="preserve"> perception</w:t>
      </w:r>
      <w:r w:rsidR="00E96963">
        <w:rPr>
          <w:rFonts w:ascii="Times New Roman" w:hAnsi="Times New Roman" w:cs="Times New Roman"/>
          <w:sz w:val="20"/>
          <w:szCs w:val="20"/>
        </w:rPr>
        <w:t>s</w:t>
      </w:r>
      <w:r w:rsidR="0000342E">
        <w:rPr>
          <w:rFonts w:ascii="Times New Roman" w:hAnsi="Times New Roman" w:cs="Times New Roman"/>
          <w:sz w:val="20"/>
          <w:szCs w:val="20"/>
        </w:rPr>
        <w:t xml:space="preserve"> on sales</w:t>
      </w:r>
      <w:r w:rsidR="00360695">
        <w:rPr>
          <w:rFonts w:ascii="Times New Roman" w:hAnsi="Times New Roman" w:cs="Times New Roman"/>
          <w:sz w:val="20"/>
          <w:szCs w:val="20"/>
        </w:rPr>
        <w:t xml:space="preserve"> and profit</w:t>
      </w:r>
      <w:r w:rsidR="0000342E">
        <w:rPr>
          <w:rFonts w:ascii="Times New Roman" w:hAnsi="Times New Roman" w:cs="Times New Roman"/>
          <w:sz w:val="20"/>
          <w:szCs w:val="20"/>
        </w:rPr>
        <w:t xml:space="preserve"> is not available for April 2020. </w:t>
      </w:r>
    </w:p>
    <w:p w14:paraId="17E0B919" w14:textId="77777777" w:rsidR="00727C41" w:rsidRDefault="00727C41" w:rsidP="00727C41">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E8DE93" w14:textId="4FB68F6A" w:rsidR="008007DF" w:rsidRDefault="008007DF" w:rsidP="00584765">
    <w:pPr>
      <w:pStyle w:val="Header"/>
      <w:ind w:left="284"/>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52AF3"/>
    <w:multiLevelType w:val="hybridMultilevel"/>
    <w:tmpl w:val="D9728BA6"/>
    <w:lvl w:ilvl="0" w:tplc="90E06608">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AC050D"/>
    <w:multiLevelType w:val="hybridMultilevel"/>
    <w:tmpl w:val="FF2857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0246949"/>
    <w:multiLevelType w:val="multilevel"/>
    <w:tmpl w:val="E4C87530"/>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3" w15:restartNumberingAfterBreak="0">
    <w:nsid w:val="246278C9"/>
    <w:multiLevelType w:val="hybridMultilevel"/>
    <w:tmpl w:val="EF24F5BA"/>
    <w:lvl w:ilvl="0" w:tplc="04090003">
      <w:start w:val="1"/>
      <w:numFmt w:val="bullet"/>
      <w:lvlText w:val="o"/>
      <w:lvlJc w:val="left"/>
      <w:pPr>
        <w:ind w:left="1800" w:hanging="360"/>
      </w:pPr>
      <w:rPr>
        <w:rFonts w:ascii="Courier New" w:hAnsi="Courier New"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24C85666"/>
    <w:multiLevelType w:val="hybridMultilevel"/>
    <w:tmpl w:val="5E0428AC"/>
    <w:lvl w:ilvl="0" w:tplc="90E06608">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0108F5"/>
    <w:multiLevelType w:val="hybridMultilevel"/>
    <w:tmpl w:val="88AC939E"/>
    <w:lvl w:ilvl="0" w:tplc="04090003">
      <w:start w:val="1"/>
      <w:numFmt w:val="bullet"/>
      <w:lvlText w:val="o"/>
      <w:lvlJc w:val="left"/>
      <w:pPr>
        <w:ind w:left="1800" w:hanging="360"/>
      </w:pPr>
      <w:rPr>
        <w:rFonts w:ascii="Courier New" w:hAnsi="Courier New"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55184CC5"/>
    <w:multiLevelType w:val="hybridMultilevel"/>
    <w:tmpl w:val="A5E25148"/>
    <w:lvl w:ilvl="0" w:tplc="AFFAB292">
      <w:start w:val="1"/>
      <w:numFmt w:val="bullet"/>
      <w:lvlText w:val=""/>
      <w:lvlJc w:val="left"/>
      <w:pPr>
        <w:ind w:left="720" w:hanging="360"/>
      </w:pPr>
      <w:rPr>
        <w:rFonts w:ascii="Symbol" w:hAnsi="Symbol" w:hint="default"/>
        <w:sz w:val="24"/>
        <w:szCs w:val="24"/>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5E12108B"/>
    <w:multiLevelType w:val="hybridMultilevel"/>
    <w:tmpl w:val="9E245494"/>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8" w15:restartNumberingAfterBreak="0">
    <w:nsid w:val="604F7606"/>
    <w:multiLevelType w:val="hybridMultilevel"/>
    <w:tmpl w:val="1BCE20F6"/>
    <w:lvl w:ilvl="0" w:tplc="04090003">
      <w:start w:val="1"/>
      <w:numFmt w:val="bullet"/>
      <w:lvlText w:val="o"/>
      <w:lvlJc w:val="left"/>
      <w:pPr>
        <w:ind w:left="1800" w:hanging="360"/>
      </w:pPr>
      <w:rPr>
        <w:rFonts w:ascii="Courier New" w:hAnsi="Courier New"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62C61DA0"/>
    <w:multiLevelType w:val="hybridMultilevel"/>
    <w:tmpl w:val="89E0B606"/>
    <w:lvl w:ilvl="0" w:tplc="90E06608">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F7A7A75"/>
    <w:multiLevelType w:val="hybridMultilevel"/>
    <w:tmpl w:val="4B928D56"/>
    <w:lvl w:ilvl="0" w:tplc="04090003">
      <w:start w:val="1"/>
      <w:numFmt w:val="bullet"/>
      <w:lvlText w:val="o"/>
      <w:lvlJc w:val="left"/>
      <w:pPr>
        <w:ind w:left="1800" w:hanging="360"/>
      </w:pPr>
      <w:rPr>
        <w:rFonts w:ascii="Courier New" w:hAnsi="Courier New"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77166356"/>
    <w:multiLevelType w:val="hybridMultilevel"/>
    <w:tmpl w:val="67C692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7E1074BC"/>
    <w:multiLevelType w:val="hybridMultilevel"/>
    <w:tmpl w:val="3666415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EEE3998"/>
    <w:multiLevelType w:val="hybridMultilevel"/>
    <w:tmpl w:val="93DE1C96"/>
    <w:lvl w:ilvl="0" w:tplc="90E06608">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2"/>
  </w:num>
  <w:num w:numId="3">
    <w:abstractNumId w:val="3"/>
  </w:num>
  <w:num w:numId="4">
    <w:abstractNumId w:val="5"/>
  </w:num>
  <w:num w:numId="5">
    <w:abstractNumId w:val="8"/>
  </w:num>
  <w:num w:numId="6">
    <w:abstractNumId w:val="10"/>
  </w:num>
  <w:num w:numId="7">
    <w:abstractNumId w:val="4"/>
  </w:num>
  <w:num w:numId="8">
    <w:abstractNumId w:val="13"/>
  </w:num>
  <w:num w:numId="9">
    <w:abstractNumId w:val="9"/>
  </w:num>
  <w:num w:numId="10">
    <w:abstractNumId w:val="0"/>
  </w:num>
  <w:num w:numId="11">
    <w:abstractNumId w:val="6"/>
  </w:num>
  <w:num w:numId="12">
    <w:abstractNumId w:val="11"/>
  </w:num>
  <w:num w:numId="13">
    <w:abstractNumId w:val="1"/>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MxNbQwMDYxMTA2M7dQ0lEKTi0uzszPAykwqgUAFEayCCwAAAA="/>
  </w:docVars>
  <w:rsids>
    <w:rsidRoot w:val="00360057"/>
    <w:rsid w:val="00000209"/>
    <w:rsid w:val="0000342E"/>
    <w:rsid w:val="00013CAF"/>
    <w:rsid w:val="0001471A"/>
    <w:rsid w:val="00015185"/>
    <w:rsid w:val="00015A8B"/>
    <w:rsid w:val="00021AB1"/>
    <w:rsid w:val="00025620"/>
    <w:rsid w:val="00026033"/>
    <w:rsid w:val="000302BE"/>
    <w:rsid w:val="00031DFE"/>
    <w:rsid w:val="00034A5A"/>
    <w:rsid w:val="00037176"/>
    <w:rsid w:val="0004003F"/>
    <w:rsid w:val="00040413"/>
    <w:rsid w:val="000410FA"/>
    <w:rsid w:val="00053843"/>
    <w:rsid w:val="00060619"/>
    <w:rsid w:val="000628D6"/>
    <w:rsid w:val="00065202"/>
    <w:rsid w:val="00065EDD"/>
    <w:rsid w:val="000679C4"/>
    <w:rsid w:val="000701A1"/>
    <w:rsid w:val="000716F4"/>
    <w:rsid w:val="00084082"/>
    <w:rsid w:val="000872BA"/>
    <w:rsid w:val="00092DB4"/>
    <w:rsid w:val="00093B14"/>
    <w:rsid w:val="00097167"/>
    <w:rsid w:val="0009761D"/>
    <w:rsid w:val="000A10BC"/>
    <w:rsid w:val="000A1926"/>
    <w:rsid w:val="000A6FCF"/>
    <w:rsid w:val="000B078A"/>
    <w:rsid w:val="000B340F"/>
    <w:rsid w:val="000B3470"/>
    <w:rsid w:val="000B3F00"/>
    <w:rsid w:val="000B5383"/>
    <w:rsid w:val="000C390A"/>
    <w:rsid w:val="000D0B24"/>
    <w:rsid w:val="000D169A"/>
    <w:rsid w:val="000D2DBD"/>
    <w:rsid w:val="000D5B12"/>
    <w:rsid w:val="000D5EC6"/>
    <w:rsid w:val="000E3FF4"/>
    <w:rsid w:val="000E410F"/>
    <w:rsid w:val="000E4289"/>
    <w:rsid w:val="000E42F3"/>
    <w:rsid w:val="000E7205"/>
    <w:rsid w:val="000E7FF9"/>
    <w:rsid w:val="000F1DBA"/>
    <w:rsid w:val="000F200B"/>
    <w:rsid w:val="000F3EC8"/>
    <w:rsid w:val="000F4528"/>
    <w:rsid w:val="000F4862"/>
    <w:rsid w:val="000F5617"/>
    <w:rsid w:val="000F6AE1"/>
    <w:rsid w:val="001077C5"/>
    <w:rsid w:val="001158B6"/>
    <w:rsid w:val="00117EA6"/>
    <w:rsid w:val="00123D0E"/>
    <w:rsid w:val="0012538D"/>
    <w:rsid w:val="0013692E"/>
    <w:rsid w:val="00151017"/>
    <w:rsid w:val="0016283C"/>
    <w:rsid w:val="00164F51"/>
    <w:rsid w:val="001655AC"/>
    <w:rsid w:val="00166A4E"/>
    <w:rsid w:val="00172D2F"/>
    <w:rsid w:val="00173637"/>
    <w:rsid w:val="00180A28"/>
    <w:rsid w:val="001819EF"/>
    <w:rsid w:val="00184672"/>
    <w:rsid w:val="00193978"/>
    <w:rsid w:val="001940AF"/>
    <w:rsid w:val="00195BE5"/>
    <w:rsid w:val="00196273"/>
    <w:rsid w:val="001A0262"/>
    <w:rsid w:val="001A0A32"/>
    <w:rsid w:val="001A6746"/>
    <w:rsid w:val="001B402A"/>
    <w:rsid w:val="001B6932"/>
    <w:rsid w:val="001C3CD1"/>
    <w:rsid w:val="001C51A0"/>
    <w:rsid w:val="001C58E1"/>
    <w:rsid w:val="001D09C4"/>
    <w:rsid w:val="001D528C"/>
    <w:rsid w:val="001E1067"/>
    <w:rsid w:val="001E3345"/>
    <w:rsid w:val="001E4459"/>
    <w:rsid w:val="001E6B4A"/>
    <w:rsid w:val="001E70EB"/>
    <w:rsid w:val="001F0744"/>
    <w:rsid w:val="001F205A"/>
    <w:rsid w:val="001F2A04"/>
    <w:rsid w:val="00200CD6"/>
    <w:rsid w:val="002027FF"/>
    <w:rsid w:val="00204D14"/>
    <w:rsid w:val="00207737"/>
    <w:rsid w:val="00207BE1"/>
    <w:rsid w:val="00207C62"/>
    <w:rsid w:val="00211F50"/>
    <w:rsid w:val="0021734F"/>
    <w:rsid w:val="00221CD4"/>
    <w:rsid w:val="0022284A"/>
    <w:rsid w:val="002232C2"/>
    <w:rsid w:val="002264C8"/>
    <w:rsid w:val="002267FF"/>
    <w:rsid w:val="00227510"/>
    <w:rsid w:val="00227966"/>
    <w:rsid w:val="00231C31"/>
    <w:rsid w:val="00231EFD"/>
    <w:rsid w:val="00232F2E"/>
    <w:rsid w:val="0025286A"/>
    <w:rsid w:val="002528D0"/>
    <w:rsid w:val="0025352C"/>
    <w:rsid w:val="002567FB"/>
    <w:rsid w:val="00260665"/>
    <w:rsid w:val="00262ADA"/>
    <w:rsid w:val="00266E93"/>
    <w:rsid w:val="00271E01"/>
    <w:rsid w:val="00272D72"/>
    <w:rsid w:val="00273D5F"/>
    <w:rsid w:val="00274379"/>
    <w:rsid w:val="002873A6"/>
    <w:rsid w:val="002875EA"/>
    <w:rsid w:val="00291B83"/>
    <w:rsid w:val="00292FB0"/>
    <w:rsid w:val="002949DE"/>
    <w:rsid w:val="002949FE"/>
    <w:rsid w:val="002A1AB4"/>
    <w:rsid w:val="002A1D6C"/>
    <w:rsid w:val="002A2879"/>
    <w:rsid w:val="002B08C2"/>
    <w:rsid w:val="002B2E73"/>
    <w:rsid w:val="002B3C87"/>
    <w:rsid w:val="002B5390"/>
    <w:rsid w:val="002B6ADE"/>
    <w:rsid w:val="002B7535"/>
    <w:rsid w:val="002B7A19"/>
    <w:rsid w:val="002B7C03"/>
    <w:rsid w:val="002B7E20"/>
    <w:rsid w:val="002C4B55"/>
    <w:rsid w:val="002C552F"/>
    <w:rsid w:val="002C7882"/>
    <w:rsid w:val="002D47D1"/>
    <w:rsid w:val="002E071E"/>
    <w:rsid w:val="002E0B96"/>
    <w:rsid w:val="002E1564"/>
    <w:rsid w:val="002E1E5B"/>
    <w:rsid w:val="002E472B"/>
    <w:rsid w:val="002E5927"/>
    <w:rsid w:val="002E6CE0"/>
    <w:rsid w:val="002F048F"/>
    <w:rsid w:val="002F0A3B"/>
    <w:rsid w:val="002F32F6"/>
    <w:rsid w:val="00302FBC"/>
    <w:rsid w:val="00305C1A"/>
    <w:rsid w:val="00310E5B"/>
    <w:rsid w:val="0031287C"/>
    <w:rsid w:val="00317E96"/>
    <w:rsid w:val="003204B3"/>
    <w:rsid w:val="00320A9D"/>
    <w:rsid w:val="00320D86"/>
    <w:rsid w:val="00321AB6"/>
    <w:rsid w:val="00322121"/>
    <w:rsid w:val="003225AA"/>
    <w:rsid w:val="00322887"/>
    <w:rsid w:val="003263A7"/>
    <w:rsid w:val="003267C1"/>
    <w:rsid w:val="003268A4"/>
    <w:rsid w:val="00332D92"/>
    <w:rsid w:val="003352DA"/>
    <w:rsid w:val="00337620"/>
    <w:rsid w:val="00337BA5"/>
    <w:rsid w:val="00340C14"/>
    <w:rsid w:val="00343E59"/>
    <w:rsid w:val="003510A7"/>
    <w:rsid w:val="00351891"/>
    <w:rsid w:val="0035640B"/>
    <w:rsid w:val="00360057"/>
    <w:rsid w:val="00360695"/>
    <w:rsid w:val="003705BC"/>
    <w:rsid w:val="00370881"/>
    <w:rsid w:val="00371173"/>
    <w:rsid w:val="0037198D"/>
    <w:rsid w:val="003727D0"/>
    <w:rsid w:val="003742DC"/>
    <w:rsid w:val="00376B5A"/>
    <w:rsid w:val="00380E7C"/>
    <w:rsid w:val="00381F13"/>
    <w:rsid w:val="00385992"/>
    <w:rsid w:val="00393CA3"/>
    <w:rsid w:val="003A04E1"/>
    <w:rsid w:val="003A3568"/>
    <w:rsid w:val="003A3F72"/>
    <w:rsid w:val="003B0A83"/>
    <w:rsid w:val="003B3A67"/>
    <w:rsid w:val="003B45EB"/>
    <w:rsid w:val="003B488F"/>
    <w:rsid w:val="003B4A6B"/>
    <w:rsid w:val="003B7854"/>
    <w:rsid w:val="003C0A84"/>
    <w:rsid w:val="003C3FD2"/>
    <w:rsid w:val="003D7A28"/>
    <w:rsid w:val="003E1B2E"/>
    <w:rsid w:val="003E289D"/>
    <w:rsid w:val="003E2EFE"/>
    <w:rsid w:val="003E3A03"/>
    <w:rsid w:val="003E482A"/>
    <w:rsid w:val="003E6255"/>
    <w:rsid w:val="003E6597"/>
    <w:rsid w:val="003E6C3E"/>
    <w:rsid w:val="003F1404"/>
    <w:rsid w:val="003F30C5"/>
    <w:rsid w:val="003F35DA"/>
    <w:rsid w:val="003F5777"/>
    <w:rsid w:val="003F66AD"/>
    <w:rsid w:val="004067A9"/>
    <w:rsid w:val="00407044"/>
    <w:rsid w:val="00410899"/>
    <w:rsid w:val="00410FBB"/>
    <w:rsid w:val="004136A1"/>
    <w:rsid w:val="00413A4E"/>
    <w:rsid w:val="00413AF7"/>
    <w:rsid w:val="0041454F"/>
    <w:rsid w:val="00417300"/>
    <w:rsid w:val="00417A15"/>
    <w:rsid w:val="004205F5"/>
    <w:rsid w:val="004239D7"/>
    <w:rsid w:val="00423FE2"/>
    <w:rsid w:val="00424D9F"/>
    <w:rsid w:val="0042510F"/>
    <w:rsid w:val="00431952"/>
    <w:rsid w:val="00432020"/>
    <w:rsid w:val="00433F9F"/>
    <w:rsid w:val="00435AC3"/>
    <w:rsid w:val="00436CA1"/>
    <w:rsid w:val="00437B16"/>
    <w:rsid w:val="00437B42"/>
    <w:rsid w:val="004412D2"/>
    <w:rsid w:val="004426F5"/>
    <w:rsid w:val="004442DD"/>
    <w:rsid w:val="004545A1"/>
    <w:rsid w:val="004545C8"/>
    <w:rsid w:val="00455861"/>
    <w:rsid w:val="004631A4"/>
    <w:rsid w:val="00466183"/>
    <w:rsid w:val="00470DD7"/>
    <w:rsid w:val="00472BB9"/>
    <w:rsid w:val="00474E83"/>
    <w:rsid w:val="004770FA"/>
    <w:rsid w:val="00483060"/>
    <w:rsid w:val="0048423A"/>
    <w:rsid w:val="004863C9"/>
    <w:rsid w:val="00494F13"/>
    <w:rsid w:val="0049521A"/>
    <w:rsid w:val="004A0784"/>
    <w:rsid w:val="004A0C11"/>
    <w:rsid w:val="004A30A9"/>
    <w:rsid w:val="004A5ABA"/>
    <w:rsid w:val="004B0842"/>
    <w:rsid w:val="004B3D36"/>
    <w:rsid w:val="004B6656"/>
    <w:rsid w:val="004B6A7E"/>
    <w:rsid w:val="004C2F32"/>
    <w:rsid w:val="004C494A"/>
    <w:rsid w:val="004C6586"/>
    <w:rsid w:val="004C6A56"/>
    <w:rsid w:val="004C74E8"/>
    <w:rsid w:val="004D05D3"/>
    <w:rsid w:val="004D357B"/>
    <w:rsid w:val="004D521F"/>
    <w:rsid w:val="004D785F"/>
    <w:rsid w:val="004D79CC"/>
    <w:rsid w:val="004E45A6"/>
    <w:rsid w:val="004E4E8E"/>
    <w:rsid w:val="004E680E"/>
    <w:rsid w:val="004E7722"/>
    <w:rsid w:val="004F099C"/>
    <w:rsid w:val="004F1230"/>
    <w:rsid w:val="004F39F6"/>
    <w:rsid w:val="004F42CF"/>
    <w:rsid w:val="00502A3B"/>
    <w:rsid w:val="00507D28"/>
    <w:rsid w:val="005231C1"/>
    <w:rsid w:val="0052567E"/>
    <w:rsid w:val="00526FE8"/>
    <w:rsid w:val="00531C53"/>
    <w:rsid w:val="005358D3"/>
    <w:rsid w:val="00537192"/>
    <w:rsid w:val="005372B2"/>
    <w:rsid w:val="00540961"/>
    <w:rsid w:val="00541C3C"/>
    <w:rsid w:val="00542A80"/>
    <w:rsid w:val="005433ED"/>
    <w:rsid w:val="005517F3"/>
    <w:rsid w:val="00552681"/>
    <w:rsid w:val="00564E29"/>
    <w:rsid w:val="00565A41"/>
    <w:rsid w:val="00566656"/>
    <w:rsid w:val="005703C8"/>
    <w:rsid w:val="005712D1"/>
    <w:rsid w:val="00571578"/>
    <w:rsid w:val="005814E3"/>
    <w:rsid w:val="005821F6"/>
    <w:rsid w:val="00583611"/>
    <w:rsid w:val="00584765"/>
    <w:rsid w:val="005866CC"/>
    <w:rsid w:val="005932E6"/>
    <w:rsid w:val="00595F65"/>
    <w:rsid w:val="005970DD"/>
    <w:rsid w:val="005A2E91"/>
    <w:rsid w:val="005A316F"/>
    <w:rsid w:val="005A340D"/>
    <w:rsid w:val="005A491A"/>
    <w:rsid w:val="005B15EC"/>
    <w:rsid w:val="005B3E50"/>
    <w:rsid w:val="005C067D"/>
    <w:rsid w:val="005C226C"/>
    <w:rsid w:val="005C2FB0"/>
    <w:rsid w:val="005C36AF"/>
    <w:rsid w:val="005C4298"/>
    <w:rsid w:val="005D180D"/>
    <w:rsid w:val="005D4584"/>
    <w:rsid w:val="005D60C2"/>
    <w:rsid w:val="005E075F"/>
    <w:rsid w:val="005E0BFA"/>
    <w:rsid w:val="005E28DD"/>
    <w:rsid w:val="005E2B79"/>
    <w:rsid w:val="005E3E89"/>
    <w:rsid w:val="005E60AE"/>
    <w:rsid w:val="005E6503"/>
    <w:rsid w:val="005E76EC"/>
    <w:rsid w:val="005F12A3"/>
    <w:rsid w:val="005F1E36"/>
    <w:rsid w:val="005F50CA"/>
    <w:rsid w:val="005F5FD8"/>
    <w:rsid w:val="005F641E"/>
    <w:rsid w:val="00600772"/>
    <w:rsid w:val="0060634C"/>
    <w:rsid w:val="00607937"/>
    <w:rsid w:val="00611AFF"/>
    <w:rsid w:val="00611B27"/>
    <w:rsid w:val="0061399F"/>
    <w:rsid w:val="00615F65"/>
    <w:rsid w:val="00616F2B"/>
    <w:rsid w:val="00620DEE"/>
    <w:rsid w:val="00623D39"/>
    <w:rsid w:val="00632747"/>
    <w:rsid w:val="006375AE"/>
    <w:rsid w:val="00637E4F"/>
    <w:rsid w:val="006402AF"/>
    <w:rsid w:val="006420D4"/>
    <w:rsid w:val="00642A22"/>
    <w:rsid w:val="0064464F"/>
    <w:rsid w:val="00647B5F"/>
    <w:rsid w:val="00653DAB"/>
    <w:rsid w:val="006543F0"/>
    <w:rsid w:val="00654ABC"/>
    <w:rsid w:val="00655AF8"/>
    <w:rsid w:val="00655B50"/>
    <w:rsid w:val="006613F0"/>
    <w:rsid w:val="00677730"/>
    <w:rsid w:val="006819F0"/>
    <w:rsid w:val="00681E4B"/>
    <w:rsid w:val="006830D3"/>
    <w:rsid w:val="00684F6A"/>
    <w:rsid w:val="00687378"/>
    <w:rsid w:val="00690BD4"/>
    <w:rsid w:val="00692450"/>
    <w:rsid w:val="00693625"/>
    <w:rsid w:val="006A1231"/>
    <w:rsid w:val="006A1623"/>
    <w:rsid w:val="006A1871"/>
    <w:rsid w:val="006A5DF8"/>
    <w:rsid w:val="006A5E31"/>
    <w:rsid w:val="006B0F4F"/>
    <w:rsid w:val="006B1E89"/>
    <w:rsid w:val="006B257F"/>
    <w:rsid w:val="006B3F73"/>
    <w:rsid w:val="006B4C38"/>
    <w:rsid w:val="006D04AF"/>
    <w:rsid w:val="006D338D"/>
    <w:rsid w:val="006D4752"/>
    <w:rsid w:val="006E37BA"/>
    <w:rsid w:val="006E4700"/>
    <w:rsid w:val="006E4C60"/>
    <w:rsid w:val="006F0B44"/>
    <w:rsid w:val="006F1970"/>
    <w:rsid w:val="006F2DA7"/>
    <w:rsid w:val="006F3A19"/>
    <w:rsid w:val="00700ACC"/>
    <w:rsid w:val="00702A65"/>
    <w:rsid w:val="007066C9"/>
    <w:rsid w:val="00707534"/>
    <w:rsid w:val="0071262A"/>
    <w:rsid w:val="00712FBA"/>
    <w:rsid w:val="00722522"/>
    <w:rsid w:val="00722930"/>
    <w:rsid w:val="007260EC"/>
    <w:rsid w:val="00726865"/>
    <w:rsid w:val="00727C41"/>
    <w:rsid w:val="00727E39"/>
    <w:rsid w:val="00727F1A"/>
    <w:rsid w:val="00733A24"/>
    <w:rsid w:val="00737C5B"/>
    <w:rsid w:val="007408B3"/>
    <w:rsid w:val="00741F1A"/>
    <w:rsid w:val="00745969"/>
    <w:rsid w:val="007460CF"/>
    <w:rsid w:val="007471A8"/>
    <w:rsid w:val="00751794"/>
    <w:rsid w:val="00751D63"/>
    <w:rsid w:val="00755B0C"/>
    <w:rsid w:val="00756E56"/>
    <w:rsid w:val="00760A14"/>
    <w:rsid w:val="00761A31"/>
    <w:rsid w:val="00762EAF"/>
    <w:rsid w:val="00763302"/>
    <w:rsid w:val="00764DD5"/>
    <w:rsid w:val="00764EB1"/>
    <w:rsid w:val="00775DAE"/>
    <w:rsid w:val="00775F7E"/>
    <w:rsid w:val="00776579"/>
    <w:rsid w:val="00777318"/>
    <w:rsid w:val="00777433"/>
    <w:rsid w:val="00780013"/>
    <w:rsid w:val="007822A5"/>
    <w:rsid w:val="00782B0B"/>
    <w:rsid w:val="007914B6"/>
    <w:rsid w:val="00791854"/>
    <w:rsid w:val="0079288E"/>
    <w:rsid w:val="007932A0"/>
    <w:rsid w:val="007953E9"/>
    <w:rsid w:val="00796AC9"/>
    <w:rsid w:val="00796D1B"/>
    <w:rsid w:val="007A5CD7"/>
    <w:rsid w:val="007A72E2"/>
    <w:rsid w:val="007A7723"/>
    <w:rsid w:val="007B1A23"/>
    <w:rsid w:val="007B1C01"/>
    <w:rsid w:val="007B77E8"/>
    <w:rsid w:val="007C300C"/>
    <w:rsid w:val="007C54B8"/>
    <w:rsid w:val="007C62BA"/>
    <w:rsid w:val="007C6EE8"/>
    <w:rsid w:val="007C751C"/>
    <w:rsid w:val="007C7C8C"/>
    <w:rsid w:val="007D0219"/>
    <w:rsid w:val="007D147A"/>
    <w:rsid w:val="007D3B9A"/>
    <w:rsid w:val="007D4B5C"/>
    <w:rsid w:val="007E00F8"/>
    <w:rsid w:val="007E3079"/>
    <w:rsid w:val="007E34C7"/>
    <w:rsid w:val="007E358E"/>
    <w:rsid w:val="007E4CCC"/>
    <w:rsid w:val="007E56D7"/>
    <w:rsid w:val="007E6DB3"/>
    <w:rsid w:val="007F043E"/>
    <w:rsid w:val="007F3947"/>
    <w:rsid w:val="007F71B0"/>
    <w:rsid w:val="007F7EB5"/>
    <w:rsid w:val="008007DF"/>
    <w:rsid w:val="008017A8"/>
    <w:rsid w:val="0080376C"/>
    <w:rsid w:val="00805222"/>
    <w:rsid w:val="008064AB"/>
    <w:rsid w:val="00807E0B"/>
    <w:rsid w:val="008145F7"/>
    <w:rsid w:val="008146BB"/>
    <w:rsid w:val="0082161A"/>
    <w:rsid w:val="0082183B"/>
    <w:rsid w:val="00826CD7"/>
    <w:rsid w:val="008423F0"/>
    <w:rsid w:val="00843357"/>
    <w:rsid w:val="00843DBB"/>
    <w:rsid w:val="008472C0"/>
    <w:rsid w:val="0085158A"/>
    <w:rsid w:val="00852C2C"/>
    <w:rsid w:val="0085584D"/>
    <w:rsid w:val="00860E1B"/>
    <w:rsid w:val="00866C92"/>
    <w:rsid w:val="008676A2"/>
    <w:rsid w:val="0086778C"/>
    <w:rsid w:val="00873384"/>
    <w:rsid w:val="00875810"/>
    <w:rsid w:val="00881AF0"/>
    <w:rsid w:val="00882A52"/>
    <w:rsid w:val="008859D8"/>
    <w:rsid w:val="00885DC8"/>
    <w:rsid w:val="00892431"/>
    <w:rsid w:val="008924DF"/>
    <w:rsid w:val="00894320"/>
    <w:rsid w:val="008975DD"/>
    <w:rsid w:val="008A019B"/>
    <w:rsid w:val="008A3A87"/>
    <w:rsid w:val="008B606E"/>
    <w:rsid w:val="008B6EB4"/>
    <w:rsid w:val="008B7D3F"/>
    <w:rsid w:val="008C1D6F"/>
    <w:rsid w:val="008C3AB6"/>
    <w:rsid w:val="008D4140"/>
    <w:rsid w:val="008D53AF"/>
    <w:rsid w:val="008D63AC"/>
    <w:rsid w:val="008D6D83"/>
    <w:rsid w:val="008E3537"/>
    <w:rsid w:val="008E3EB5"/>
    <w:rsid w:val="008E567C"/>
    <w:rsid w:val="008E6F9A"/>
    <w:rsid w:val="008E7685"/>
    <w:rsid w:val="008F0ABC"/>
    <w:rsid w:val="008F1F2D"/>
    <w:rsid w:val="008F2A57"/>
    <w:rsid w:val="008F583E"/>
    <w:rsid w:val="009002A7"/>
    <w:rsid w:val="00901FA2"/>
    <w:rsid w:val="0090345B"/>
    <w:rsid w:val="00906256"/>
    <w:rsid w:val="00907B2A"/>
    <w:rsid w:val="009115E9"/>
    <w:rsid w:val="00911FB2"/>
    <w:rsid w:val="009133FE"/>
    <w:rsid w:val="0091559F"/>
    <w:rsid w:val="00916798"/>
    <w:rsid w:val="009174E4"/>
    <w:rsid w:val="00925659"/>
    <w:rsid w:val="00927A52"/>
    <w:rsid w:val="00930466"/>
    <w:rsid w:val="0093664C"/>
    <w:rsid w:val="00943D62"/>
    <w:rsid w:val="00946987"/>
    <w:rsid w:val="00946BCD"/>
    <w:rsid w:val="00947534"/>
    <w:rsid w:val="00951AF6"/>
    <w:rsid w:val="00954274"/>
    <w:rsid w:val="00954378"/>
    <w:rsid w:val="00960C40"/>
    <w:rsid w:val="00961726"/>
    <w:rsid w:val="00962678"/>
    <w:rsid w:val="00976C79"/>
    <w:rsid w:val="0098116E"/>
    <w:rsid w:val="00982BB8"/>
    <w:rsid w:val="00983786"/>
    <w:rsid w:val="009872D1"/>
    <w:rsid w:val="00987EDE"/>
    <w:rsid w:val="00991B26"/>
    <w:rsid w:val="00995A22"/>
    <w:rsid w:val="00996B6D"/>
    <w:rsid w:val="009A17DB"/>
    <w:rsid w:val="009B4441"/>
    <w:rsid w:val="009B5ECF"/>
    <w:rsid w:val="009C3663"/>
    <w:rsid w:val="009C41A3"/>
    <w:rsid w:val="009C665A"/>
    <w:rsid w:val="009C6B97"/>
    <w:rsid w:val="009D0FB3"/>
    <w:rsid w:val="009D194F"/>
    <w:rsid w:val="009D53A2"/>
    <w:rsid w:val="009E05FE"/>
    <w:rsid w:val="009E1852"/>
    <w:rsid w:val="009F4388"/>
    <w:rsid w:val="009F5421"/>
    <w:rsid w:val="009F7A50"/>
    <w:rsid w:val="00A01EDB"/>
    <w:rsid w:val="00A04A2C"/>
    <w:rsid w:val="00A12F74"/>
    <w:rsid w:val="00A14CD0"/>
    <w:rsid w:val="00A16BE6"/>
    <w:rsid w:val="00A23CB7"/>
    <w:rsid w:val="00A2474D"/>
    <w:rsid w:val="00A24BBB"/>
    <w:rsid w:val="00A3041F"/>
    <w:rsid w:val="00A31435"/>
    <w:rsid w:val="00A3270F"/>
    <w:rsid w:val="00A35195"/>
    <w:rsid w:val="00A367C0"/>
    <w:rsid w:val="00A37728"/>
    <w:rsid w:val="00A409BA"/>
    <w:rsid w:val="00A42432"/>
    <w:rsid w:val="00A44EBC"/>
    <w:rsid w:val="00A45FCF"/>
    <w:rsid w:val="00A47F48"/>
    <w:rsid w:val="00A52B16"/>
    <w:rsid w:val="00A60774"/>
    <w:rsid w:val="00A625F5"/>
    <w:rsid w:val="00A67C11"/>
    <w:rsid w:val="00A706CF"/>
    <w:rsid w:val="00A71A5C"/>
    <w:rsid w:val="00A72F20"/>
    <w:rsid w:val="00A74867"/>
    <w:rsid w:val="00A80993"/>
    <w:rsid w:val="00A81314"/>
    <w:rsid w:val="00A93D2E"/>
    <w:rsid w:val="00A95C0D"/>
    <w:rsid w:val="00A963FC"/>
    <w:rsid w:val="00A97FD6"/>
    <w:rsid w:val="00AA427B"/>
    <w:rsid w:val="00AA4EBB"/>
    <w:rsid w:val="00AA63A1"/>
    <w:rsid w:val="00AB07F1"/>
    <w:rsid w:val="00AB1899"/>
    <w:rsid w:val="00AB496C"/>
    <w:rsid w:val="00AB7A45"/>
    <w:rsid w:val="00AC6C7C"/>
    <w:rsid w:val="00AD0751"/>
    <w:rsid w:val="00AD1A8D"/>
    <w:rsid w:val="00AD6B64"/>
    <w:rsid w:val="00AE5FF5"/>
    <w:rsid w:val="00AE7F0F"/>
    <w:rsid w:val="00AF1BF3"/>
    <w:rsid w:val="00AF3DDC"/>
    <w:rsid w:val="00AF798A"/>
    <w:rsid w:val="00AF7A26"/>
    <w:rsid w:val="00B00CB3"/>
    <w:rsid w:val="00B06244"/>
    <w:rsid w:val="00B063D4"/>
    <w:rsid w:val="00B103AE"/>
    <w:rsid w:val="00B10A5C"/>
    <w:rsid w:val="00B10E39"/>
    <w:rsid w:val="00B129FC"/>
    <w:rsid w:val="00B12CC7"/>
    <w:rsid w:val="00B169DF"/>
    <w:rsid w:val="00B200A7"/>
    <w:rsid w:val="00B215BA"/>
    <w:rsid w:val="00B2227F"/>
    <w:rsid w:val="00B25477"/>
    <w:rsid w:val="00B32121"/>
    <w:rsid w:val="00B40A55"/>
    <w:rsid w:val="00B41EF3"/>
    <w:rsid w:val="00B41FD1"/>
    <w:rsid w:val="00B4405A"/>
    <w:rsid w:val="00B468BD"/>
    <w:rsid w:val="00B51229"/>
    <w:rsid w:val="00B51681"/>
    <w:rsid w:val="00B5663F"/>
    <w:rsid w:val="00B6059C"/>
    <w:rsid w:val="00B60CD1"/>
    <w:rsid w:val="00B61481"/>
    <w:rsid w:val="00B6165E"/>
    <w:rsid w:val="00B66E50"/>
    <w:rsid w:val="00B70FC1"/>
    <w:rsid w:val="00B72400"/>
    <w:rsid w:val="00B7522D"/>
    <w:rsid w:val="00B7624A"/>
    <w:rsid w:val="00B76D03"/>
    <w:rsid w:val="00B81990"/>
    <w:rsid w:val="00B84A4A"/>
    <w:rsid w:val="00B84BE6"/>
    <w:rsid w:val="00B854C5"/>
    <w:rsid w:val="00B85782"/>
    <w:rsid w:val="00B85ED5"/>
    <w:rsid w:val="00B8726E"/>
    <w:rsid w:val="00B920CC"/>
    <w:rsid w:val="00B95114"/>
    <w:rsid w:val="00B96C5A"/>
    <w:rsid w:val="00B96E27"/>
    <w:rsid w:val="00B975DE"/>
    <w:rsid w:val="00BA11D9"/>
    <w:rsid w:val="00BA1E11"/>
    <w:rsid w:val="00BA3708"/>
    <w:rsid w:val="00BA708D"/>
    <w:rsid w:val="00BB2EDA"/>
    <w:rsid w:val="00BC20B5"/>
    <w:rsid w:val="00BC31B3"/>
    <w:rsid w:val="00BD4062"/>
    <w:rsid w:val="00BE1008"/>
    <w:rsid w:val="00BE1F25"/>
    <w:rsid w:val="00BE33D4"/>
    <w:rsid w:val="00BF4906"/>
    <w:rsid w:val="00BF61A4"/>
    <w:rsid w:val="00BF74CB"/>
    <w:rsid w:val="00C04AE6"/>
    <w:rsid w:val="00C14124"/>
    <w:rsid w:val="00C1670B"/>
    <w:rsid w:val="00C22C21"/>
    <w:rsid w:val="00C25290"/>
    <w:rsid w:val="00C2619B"/>
    <w:rsid w:val="00C27EC1"/>
    <w:rsid w:val="00C31736"/>
    <w:rsid w:val="00C32EC0"/>
    <w:rsid w:val="00C33531"/>
    <w:rsid w:val="00C35070"/>
    <w:rsid w:val="00C371B5"/>
    <w:rsid w:val="00C42227"/>
    <w:rsid w:val="00C54808"/>
    <w:rsid w:val="00C55FA4"/>
    <w:rsid w:val="00C56040"/>
    <w:rsid w:val="00C5795B"/>
    <w:rsid w:val="00C651D1"/>
    <w:rsid w:val="00C6596E"/>
    <w:rsid w:val="00C727F1"/>
    <w:rsid w:val="00C73C3B"/>
    <w:rsid w:val="00C76065"/>
    <w:rsid w:val="00C77E05"/>
    <w:rsid w:val="00C81AC1"/>
    <w:rsid w:val="00C936BB"/>
    <w:rsid w:val="00C94266"/>
    <w:rsid w:val="00C94574"/>
    <w:rsid w:val="00C954A9"/>
    <w:rsid w:val="00C95CAB"/>
    <w:rsid w:val="00C96087"/>
    <w:rsid w:val="00C96B58"/>
    <w:rsid w:val="00C96C66"/>
    <w:rsid w:val="00CA0366"/>
    <w:rsid w:val="00CA0452"/>
    <w:rsid w:val="00CA2329"/>
    <w:rsid w:val="00CA603B"/>
    <w:rsid w:val="00CB062C"/>
    <w:rsid w:val="00CB3CF1"/>
    <w:rsid w:val="00CB4C04"/>
    <w:rsid w:val="00CB54EB"/>
    <w:rsid w:val="00CB5FEC"/>
    <w:rsid w:val="00CC0054"/>
    <w:rsid w:val="00CC1C18"/>
    <w:rsid w:val="00CC1C45"/>
    <w:rsid w:val="00CC2584"/>
    <w:rsid w:val="00CC44AE"/>
    <w:rsid w:val="00CC5DF3"/>
    <w:rsid w:val="00CC7551"/>
    <w:rsid w:val="00CD2EA2"/>
    <w:rsid w:val="00CD425D"/>
    <w:rsid w:val="00CE0B24"/>
    <w:rsid w:val="00CE2C98"/>
    <w:rsid w:val="00CE40A5"/>
    <w:rsid w:val="00CE54BB"/>
    <w:rsid w:val="00CE599B"/>
    <w:rsid w:val="00CE7A64"/>
    <w:rsid w:val="00CF0884"/>
    <w:rsid w:val="00CF2302"/>
    <w:rsid w:val="00CF472C"/>
    <w:rsid w:val="00CF731F"/>
    <w:rsid w:val="00D00336"/>
    <w:rsid w:val="00D005C5"/>
    <w:rsid w:val="00D010FE"/>
    <w:rsid w:val="00D02C8B"/>
    <w:rsid w:val="00D0385E"/>
    <w:rsid w:val="00D10FE5"/>
    <w:rsid w:val="00D11372"/>
    <w:rsid w:val="00D12D55"/>
    <w:rsid w:val="00D1761A"/>
    <w:rsid w:val="00D20770"/>
    <w:rsid w:val="00D22274"/>
    <w:rsid w:val="00D230FA"/>
    <w:rsid w:val="00D243AE"/>
    <w:rsid w:val="00D30231"/>
    <w:rsid w:val="00D308FA"/>
    <w:rsid w:val="00D3210D"/>
    <w:rsid w:val="00D3337A"/>
    <w:rsid w:val="00D35086"/>
    <w:rsid w:val="00D353B5"/>
    <w:rsid w:val="00D367DD"/>
    <w:rsid w:val="00D40035"/>
    <w:rsid w:val="00D40FCB"/>
    <w:rsid w:val="00D4286A"/>
    <w:rsid w:val="00D42893"/>
    <w:rsid w:val="00D51305"/>
    <w:rsid w:val="00D6526A"/>
    <w:rsid w:val="00D666DA"/>
    <w:rsid w:val="00D80892"/>
    <w:rsid w:val="00D836A4"/>
    <w:rsid w:val="00D84D83"/>
    <w:rsid w:val="00D86324"/>
    <w:rsid w:val="00D86FBB"/>
    <w:rsid w:val="00D925B4"/>
    <w:rsid w:val="00D94524"/>
    <w:rsid w:val="00D969A2"/>
    <w:rsid w:val="00DA5475"/>
    <w:rsid w:val="00DA5CEE"/>
    <w:rsid w:val="00DA7B90"/>
    <w:rsid w:val="00DB00CF"/>
    <w:rsid w:val="00DB27C4"/>
    <w:rsid w:val="00DB3B95"/>
    <w:rsid w:val="00DB6503"/>
    <w:rsid w:val="00DB6736"/>
    <w:rsid w:val="00DC0290"/>
    <w:rsid w:val="00DC1400"/>
    <w:rsid w:val="00DC19A8"/>
    <w:rsid w:val="00DC3C63"/>
    <w:rsid w:val="00DC6FF1"/>
    <w:rsid w:val="00DC7809"/>
    <w:rsid w:val="00DD2341"/>
    <w:rsid w:val="00DD3E9B"/>
    <w:rsid w:val="00DD517A"/>
    <w:rsid w:val="00DD58D7"/>
    <w:rsid w:val="00DE3769"/>
    <w:rsid w:val="00DE4CA8"/>
    <w:rsid w:val="00DE57C4"/>
    <w:rsid w:val="00DE639D"/>
    <w:rsid w:val="00DE77D9"/>
    <w:rsid w:val="00DF1342"/>
    <w:rsid w:val="00DF1CBE"/>
    <w:rsid w:val="00DF47BA"/>
    <w:rsid w:val="00E0056C"/>
    <w:rsid w:val="00E05849"/>
    <w:rsid w:val="00E05EDE"/>
    <w:rsid w:val="00E14ED2"/>
    <w:rsid w:val="00E203F6"/>
    <w:rsid w:val="00E22CE6"/>
    <w:rsid w:val="00E30AF0"/>
    <w:rsid w:val="00E30D4C"/>
    <w:rsid w:val="00E328CB"/>
    <w:rsid w:val="00E33FBC"/>
    <w:rsid w:val="00E34950"/>
    <w:rsid w:val="00E35688"/>
    <w:rsid w:val="00E368B6"/>
    <w:rsid w:val="00E4231D"/>
    <w:rsid w:val="00E44457"/>
    <w:rsid w:val="00E44BBB"/>
    <w:rsid w:val="00E47676"/>
    <w:rsid w:val="00E502B5"/>
    <w:rsid w:val="00E50780"/>
    <w:rsid w:val="00E5268F"/>
    <w:rsid w:val="00E530C0"/>
    <w:rsid w:val="00E57396"/>
    <w:rsid w:val="00E61745"/>
    <w:rsid w:val="00E61859"/>
    <w:rsid w:val="00E6236E"/>
    <w:rsid w:val="00E645D1"/>
    <w:rsid w:val="00E66762"/>
    <w:rsid w:val="00E67F87"/>
    <w:rsid w:val="00E73806"/>
    <w:rsid w:val="00E757F1"/>
    <w:rsid w:val="00E80133"/>
    <w:rsid w:val="00E80495"/>
    <w:rsid w:val="00E8126B"/>
    <w:rsid w:val="00E834E5"/>
    <w:rsid w:val="00E914D9"/>
    <w:rsid w:val="00E9356D"/>
    <w:rsid w:val="00E953FD"/>
    <w:rsid w:val="00E96963"/>
    <w:rsid w:val="00EA1765"/>
    <w:rsid w:val="00EA264B"/>
    <w:rsid w:val="00EA367A"/>
    <w:rsid w:val="00EA483F"/>
    <w:rsid w:val="00EA5602"/>
    <w:rsid w:val="00EA79D4"/>
    <w:rsid w:val="00EB118F"/>
    <w:rsid w:val="00EB1D74"/>
    <w:rsid w:val="00EB7978"/>
    <w:rsid w:val="00EC19F6"/>
    <w:rsid w:val="00EC71C1"/>
    <w:rsid w:val="00ED00BB"/>
    <w:rsid w:val="00ED22A9"/>
    <w:rsid w:val="00ED330C"/>
    <w:rsid w:val="00ED5E8A"/>
    <w:rsid w:val="00ED713A"/>
    <w:rsid w:val="00ED79C5"/>
    <w:rsid w:val="00EE5D40"/>
    <w:rsid w:val="00EE752F"/>
    <w:rsid w:val="00EF02FA"/>
    <w:rsid w:val="00EF08B1"/>
    <w:rsid w:val="00EF66A2"/>
    <w:rsid w:val="00EF6A28"/>
    <w:rsid w:val="00EF764C"/>
    <w:rsid w:val="00F029BC"/>
    <w:rsid w:val="00F04669"/>
    <w:rsid w:val="00F046DB"/>
    <w:rsid w:val="00F12C4C"/>
    <w:rsid w:val="00F16949"/>
    <w:rsid w:val="00F17555"/>
    <w:rsid w:val="00F36E01"/>
    <w:rsid w:val="00F37B99"/>
    <w:rsid w:val="00F412C2"/>
    <w:rsid w:val="00F45ADB"/>
    <w:rsid w:val="00F503C6"/>
    <w:rsid w:val="00F51B2F"/>
    <w:rsid w:val="00F54740"/>
    <w:rsid w:val="00F55006"/>
    <w:rsid w:val="00F6194A"/>
    <w:rsid w:val="00F62E1D"/>
    <w:rsid w:val="00F64ED0"/>
    <w:rsid w:val="00F66519"/>
    <w:rsid w:val="00F7154C"/>
    <w:rsid w:val="00F71D94"/>
    <w:rsid w:val="00F728A6"/>
    <w:rsid w:val="00F765CE"/>
    <w:rsid w:val="00F85033"/>
    <w:rsid w:val="00F87A41"/>
    <w:rsid w:val="00F901EF"/>
    <w:rsid w:val="00F925D1"/>
    <w:rsid w:val="00F93FD9"/>
    <w:rsid w:val="00F97518"/>
    <w:rsid w:val="00FA0360"/>
    <w:rsid w:val="00FA155C"/>
    <w:rsid w:val="00FA1F47"/>
    <w:rsid w:val="00FA2612"/>
    <w:rsid w:val="00FA779C"/>
    <w:rsid w:val="00FB0111"/>
    <w:rsid w:val="00FB0E04"/>
    <w:rsid w:val="00FB325F"/>
    <w:rsid w:val="00FB3733"/>
    <w:rsid w:val="00FB6A5B"/>
    <w:rsid w:val="00FB7769"/>
    <w:rsid w:val="00FC0DDB"/>
    <w:rsid w:val="00FC26F5"/>
    <w:rsid w:val="00FC49EB"/>
    <w:rsid w:val="00FC5739"/>
    <w:rsid w:val="00FD534D"/>
    <w:rsid w:val="00FD6696"/>
    <w:rsid w:val="00FE215D"/>
    <w:rsid w:val="00FE5647"/>
    <w:rsid w:val="00FE7F96"/>
    <w:rsid w:val="00FF3065"/>
    <w:rsid w:val="00FF53C7"/>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D3A89E"/>
  <w15:docId w15:val="{7CC67978-D7DD-4B47-9063-2E0DC9E89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1990"/>
    <w:pPr>
      <w:spacing w:after="200" w:line="276" w:lineRule="auto"/>
    </w:pPr>
    <w:rPr>
      <w:sz w:val="22"/>
      <w:szCs w:val="22"/>
      <w:lang w:val="en-IN"/>
    </w:rPr>
  </w:style>
  <w:style w:type="paragraph" w:styleId="Heading4">
    <w:name w:val="heading 4"/>
    <w:basedOn w:val="Normal"/>
    <w:link w:val="Heading4Char"/>
    <w:uiPriority w:val="9"/>
    <w:qFormat/>
    <w:rsid w:val="00777433"/>
    <w:pPr>
      <w:spacing w:before="100" w:beforeAutospacing="1" w:after="100" w:afterAutospacing="1" w:line="240" w:lineRule="auto"/>
      <w:outlineLvl w:val="3"/>
    </w:pPr>
    <w:rPr>
      <w:rFonts w:ascii="Times New Roman" w:eastAsia="Times New Roman" w:hAnsi="Times New Roman" w:cs="Times New Roman"/>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B81990"/>
  </w:style>
  <w:style w:type="paragraph" w:styleId="FootnoteText">
    <w:name w:val="footnote text"/>
    <w:basedOn w:val="Normal"/>
    <w:link w:val="FootnoteTextChar"/>
    <w:uiPriority w:val="99"/>
    <w:unhideWhenUsed/>
    <w:rsid w:val="00B81990"/>
  </w:style>
  <w:style w:type="character" w:customStyle="1" w:styleId="FootnoteTextChar">
    <w:name w:val="Footnote Text Char"/>
    <w:basedOn w:val="DefaultParagraphFont"/>
    <w:link w:val="FootnoteText"/>
    <w:uiPriority w:val="99"/>
    <w:rsid w:val="00B81990"/>
  </w:style>
  <w:style w:type="character" w:styleId="FootnoteReference">
    <w:name w:val="footnote reference"/>
    <w:basedOn w:val="DefaultParagraphFont"/>
    <w:uiPriority w:val="99"/>
    <w:unhideWhenUsed/>
    <w:rsid w:val="00B81990"/>
    <w:rPr>
      <w:vertAlign w:val="superscript"/>
    </w:rPr>
  </w:style>
  <w:style w:type="paragraph" w:styleId="Header">
    <w:name w:val="header"/>
    <w:basedOn w:val="Normal"/>
    <w:link w:val="HeaderChar"/>
    <w:uiPriority w:val="99"/>
    <w:unhideWhenUsed/>
    <w:rsid w:val="00B81990"/>
    <w:pPr>
      <w:tabs>
        <w:tab w:val="center" w:pos="4513"/>
        <w:tab w:val="right" w:pos="9026"/>
      </w:tabs>
    </w:pPr>
  </w:style>
  <w:style w:type="character" w:customStyle="1" w:styleId="HeaderChar">
    <w:name w:val="Header Char"/>
    <w:basedOn w:val="DefaultParagraphFont"/>
    <w:link w:val="Header"/>
    <w:uiPriority w:val="99"/>
    <w:rsid w:val="00B81990"/>
  </w:style>
  <w:style w:type="paragraph" w:styleId="Footer">
    <w:name w:val="footer"/>
    <w:basedOn w:val="Normal"/>
    <w:link w:val="FooterChar"/>
    <w:uiPriority w:val="99"/>
    <w:unhideWhenUsed/>
    <w:rsid w:val="00B81990"/>
    <w:pPr>
      <w:tabs>
        <w:tab w:val="center" w:pos="4513"/>
        <w:tab w:val="right" w:pos="9026"/>
      </w:tabs>
    </w:pPr>
  </w:style>
  <w:style w:type="character" w:customStyle="1" w:styleId="FooterChar">
    <w:name w:val="Footer Char"/>
    <w:basedOn w:val="DefaultParagraphFont"/>
    <w:link w:val="Footer"/>
    <w:uiPriority w:val="99"/>
    <w:rsid w:val="00B81990"/>
  </w:style>
  <w:style w:type="paragraph" w:styleId="BalloonText">
    <w:name w:val="Balloon Text"/>
    <w:basedOn w:val="Normal"/>
    <w:link w:val="BalloonTextChar"/>
    <w:uiPriority w:val="99"/>
    <w:semiHidden/>
    <w:unhideWhenUsed/>
    <w:rsid w:val="00B96C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6C5A"/>
    <w:rPr>
      <w:rFonts w:ascii="Tahoma" w:hAnsi="Tahoma" w:cs="Tahoma"/>
      <w:sz w:val="16"/>
      <w:szCs w:val="16"/>
      <w:lang w:val="en-IN"/>
    </w:rPr>
  </w:style>
  <w:style w:type="table" w:styleId="TableGrid">
    <w:name w:val="Table Grid"/>
    <w:basedOn w:val="TableNormal"/>
    <w:uiPriority w:val="99"/>
    <w:rsid w:val="00B96C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777433"/>
    <w:rPr>
      <w:rFonts w:ascii="Times New Roman" w:eastAsia="Times New Roman" w:hAnsi="Times New Roman" w:cs="Times New Roman"/>
      <w:b/>
      <w:bCs/>
    </w:rPr>
  </w:style>
  <w:style w:type="paragraph" w:styleId="ListParagraph">
    <w:name w:val="List Paragraph"/>
    <w:basedOn w:val="Normal"/>
    <w:uiPriority w:val="99"/>
    <w:qFormat/>
    <w:rsid w:val="00777433"/>
    <w:pPr>
      <w:ind w:left="720"/>
      <w:contextualSpacing/>
    </w:pPr>
    <w:rPr>
      <w:lang w:val="en-US"/>
    </w:rPr>
  </w:style>
  <w:style w:type="paragraph" w:styleId="NormalWeb">
    <w:name w:val="Normal (Web)"/>
    <w:basedOn w:val="Normal"/>
    <w:uiPriority w:val="99"/>
    <w:rsid w:val="009F5421"/>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Default">
    <w:name w:val="Default"/>
    <w:uiPriority w:val="99"/>
    <w:rsid w:val="009F5421"/>
    <w:pPr>
      <w:autoSpaceDE w:val="0"/>
      <w:autoSpaceDN w:val="0"/>
      <w:adjustRightInd w:val="0"/>
    </w:pPr>
    <w:rPr>
      <w:rFonts w:ascii="Courier New" w:eastAsia="Times New Roman" w:hAnsi="Courier New" w:cs="Courier New"/>
      <w:color w:val="000000"/>
    </w:rPr>
  </w:style>
  <w:style w:type="character" w:customStyle="1" w:styleId="il">
    <w:name w:val="il"/>
    <w:basedOn w:val="DefaultParagraphFont"/>
    <w:rsid w:val="00433F9F"/>
  </w:style>
  <w:style w:type="character" w:styleId="CommentReference">
    <w:name w:val="annotation reference"/>
    <w:basedOn w:val="DefaultParagraphFont"/>
    <w:uiPriority w:val="99"/>
    <w:semiHidden/>
    <w:unhideWhenUsed/>
    <w:rsid w:val="00EB1D74"/>
    <w:rPr>
      <w:sz w:val="16"/>
      <w:szCs w:val="16"/>
    </w:rPr>
  </w:style>
  <w:style w:type="paragraph" w:styleId="CommentText">
    <w:name w:val="annotation text"/>
    <w:basedOn w:val="Normal"/>
    <w:link w:val="CommentTextChar"/>
    <w:uiPriority w:val="99"/>
    <w:semiHidden/>
    <w:unhideWhenUsed/>
    <w:rsid w:val="00EB1D74"/>
    <w:pPr>
      <w:spacing w:line="240" w:lineRule="auto"/>
    </w:pPr>
    <w:rPr>
      <w:sz w:val="20"/>
      <w:szCs w:val="20"/>
    </w:rPr>
  </w:style>
  <w:style w:type="character" w:customStyle="1" w:styleId="CommentTextChar">
    <w:name w:val="Comment Text Char"/>
    <w:basedOn w:val="DefaultParagraphFont"/>
    <w:link w:val="CommentText"/>
    <w:uiPriority w:val="99"/>
    <w:semiHidden/>
    <w:rsid w:val="00EB1D74"/>
    <w:rPr>
      <w:sz w:val="20"/>
      <w:szCs w:val="20"/>
      <w:lang w:val="en-IN"/>
    </w:rPr>
  </w:style>
  <w:style w:type="paragraph" w:styleId="CommentSubject">
    <w:name w:val="annotation subject"/>
    <w:basedOn w:val="CommentText"/>
    <w:next w:val="CommentText"/>
    <w:link w:val="CommentSubjectChar"/>
    <w:uiPriority w:val="99"/>
    <w:semiHidden/>
    <w:unhideWhenUsed/>
    <w:rsid w:val="00EB1D74"/>
    <w:rPr>
      <w:b/>
      <w:bCs/>
    </w:rPr>
  </w:style>
  <w:style w:type="character" w:customStyle="1" w:styleId="CommentSubjectChar">
    <w:name w:val="Comment Subject Char"/>
    <w:basedOn w:val="CommentTextChar"/>
    <w:link w:val="CommentSubject"/>
    <w:uiPriority w:val="99"/>
    <w:semiHidden/>
    <w:rsid w:val="00EB1D74"/>
    <w:rPr>
      <w:b/>
      <w:bCs/>
      <w:sz w:val="20"/>
      <w:szCs w:val="20"/>
      <w:lang w:val="en-IN"/>
    </w:rPr>
  </w:style>
  <w:style w:type="character" w:styleId="Hyperlink">
    <w:name w:val="Hyperlink"/>
    <w:basedOn w:val="DefaultParagraphFont"/>
    <w:uiPriority w:val="99"/>
    <w:semiHidden/>
    <w:unhideWhenUsed/>
    <w:rsid w:val="00211F5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9839203">
      <w:bodyDiv w:val="1"/>
      <w:marLeft w:val="0"/>
      <w:marRight w:val="0"/>
      <w:marTop w:val="0"/>
      <w:marBottom w:val="0"/>
      <w:divBdr>
        <w:top w:val="none" w:sz="0" w:space="0" w:color="auto"/>
        <w:left w:val="none" w:sz="0" w:space="0" w:color="auto"/>
        <w:bottom w:val="none" w:sz="0" w:space="0" w:color="auto"/>
        <w:right w:val="none" w:sz="0" w:space="0" w:color="auto"/>
      </w:divBdr>
    </w:div>
    <w:div w:id="489446715">
      <w:bodyDiv w:val="1"/>
      <w:marLeft w:val="0"/>
      <w:marRight w:val="0"/>
      <w:marTop w:val="0"/>
      <w:marBottom w:val="0"/>
      <w:divBdr>
        <w:top w:val="none" w:sz="0" w:space="0" w:color="auto"/>
        <w:left w:val="none" w:sz="0" w:space="0" w:color="auto"/>
        <w:bottom w:val="none" w:sz="0" w:space="0" w:color="auto"/>
        <w:right w:val="none" w:sz="0" w:space="0" w:color="auto"/>
      </w:divBdr>
    </w:div>
    <w:div w:id="518661311">
      <w:bodyDiv w:val="1"/>
      <w:marLeft w:val="0"/>
      <w:marRight w:val="0"/>
      <w:marTop w:val="0"/>
      <w:marBottom w:val="0"/>
      <w:divBdr>
        <w:top w:val="none" w:sz="0" w:space="0" w:color="auto"/>
        <w:left w:val="none" w:sz="0" w:space="0" w:color="auto"/>
        <w:bottom w:val="none" w:sz="0" w:space="0" w:color="auto"/>
        <w:right w:val="none" w:sz="0" w:space="0" w:color="auto"/>
      </w:divBdr>
    </w:div>
    <w:div w:id="1958944231">
      <w:bodyDiv w:val="1"/>
      <w:marLeft w:val="0"/>
      <w:marRight w:val="0"/>
      <w:marTop w:val="0"/>
      <w:marBottom w:val="0"/>
      <w:divBdr>
        <w:top w:val="none" w:sz="0" w:space="0" w:color="auto"/>
        <w:left w:val="none" w:sz="0" w:space="0" w:color="auto"/>
        <w:bottom w:val="none" w:sz="0" w:space="0" w:color="auto"/>
        <w:right w:val="none" w:sz="0" w:space="0" w:color="auto"/>
      </w:divBdr>
    </w:div>
    <w:div w:id="20486807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5.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yperlink" Target="mailto:pr@iima.ac.in"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F:\Abhiman\BIES\Estimation%20July%202020.xlsx" TargetMode="External"/></Relationships>
</file>

<file path=word/charts/_rels/chart2.xml.rels><?xml version="1.0" encoding="UTF-8" standalone="yes"?>
<Relationships xmlns="http://schemas.openxmlformats.org/package/2006/relationships"><Relationship Id="rId3" Type="http://schemas.openxmlformats.org/officeDocument/2006/relationships/oleObject" Target="file:///F:\Abhiman\BIES\Estimation%20July%202020.xlsx" TargetMode="External"/><Relationship Id="rId2" Type="http://schemas.microsoft.com/office/2011/relationships/chartColorStyle" Target="colors1.xml"/><Relationship Id="rId1" Type="http://schemas.microsoft.com/office/2011/relationships/chartStyle" Target="style1.xml"/></Relationships>
</file>

<file path=word/charts/_rels/chart3.xml.rels><?xml version="1.0" encoding="UTF-8" standalone="yes"?>
<Relationships xmlns="http://schemas.openxmlformats.org/package/2006/relationships"><Relationship Id="rId1" Type="http://schemas.openxmlformats.org/officeDocument/2006/relationships/oleObject" Target="file:///F:\Abhiman\BIES\Results%20August%202020.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F:\Abhiman\BIES\Results%20August%202020.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F:\Abhiman\BIES\Results%20August%20202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a:solidFill>
                <a:srgbClr val="C00000"/>
              </a:solidFill>
            </a:ln>
          </c:spPr>
          <c:marker>
            <c:symbol val="none"/>
          </c:marker>
          <c:trendline>
            <c:spPr>
              <a:ln w="15875">
                <a:solidFill>
                  <a:srgbClr val="002060"/>
                </a:solidFill>
              </a:ln>
            </c:spPr>
            <c:trendlineType val="linear"/>
            <c:dispRSqr val="0"/>
            <c:dispEq val="0"/>
          </c:trendline>
          <c:cat>
            <c:numRef>
              <c:f>Sheet1!$D$26:$D$65</c:f>
              <c:numCache>
                <c:formatCode>mmm\-yy</c:formatCode>
                <c:ptCount val="40"/>
                <c:pt idx="0">
                  <c:v>42856</c:v>
                </c:pt>
                <c:pt idx="1">
                  <c:v>42887</c:v>
                </c:pt>
                <c:pt idx="2">
                  <c:v>42917</c:v>
                </c:pt>
                <c:pt idx="3">
                  <c:v>42948</c:v>
                </c:pt>
                <c:pt idx="4">
                  <c:v>42979</c:v>
                </c:pt>
                <c:pt idx="5">
                  <c:v>43009</c:v>
                </c:pt>
                <c:pt idx="6">
                  <c:v>43040</c:v>
                </c:pt>
                <c:pt idx="7">
                  <c:v>43070</c:v>
                </c:pt>
                <c:pt idx="8">
                  <c:v>43101</c:v>
                </c:pt>
                <c:pt idx="9">
                  <c:v>43132</c:v>
                </c:pt>
                <c:pt idx="10">
                  <c:v>43160</c:v>
                </c:pt>
                <c:pt idx="11">
                  <c:v>43191</c:v>
                </c:pt>
                <c:pt idx="12">
                  <c:v>43221</c:v>
                </c:pt>
                <c:pt idx="13">
                  <c:v>43252</c:v>
                </c:pt>
                <c:pt idx="14">
                  <c:v>43282</c:v>
                </c:pt>
                <c:pt idx="15">
                  <c:v>43313</c:v>
                </c:pt>
                <c:pt idx="16">
                  <c:v>43344</c:v>
                </c:pt>
                <c:pt idx="17">
                  <c:v>43374</c:v>
                </c:pt>
                <c:pt idx="18">
                  <c:v>43405</c:v>
                </c:pt>
                <c:pt idx="19">
                  <c:v>43435</c:v>
                </c:pt>
                <c:pt idx="20">
                  <c:v>43466</c:v>
                </c:pt>
                <c:pt idx="21">
                  <c:v>43497</c:v>
                </c:pt>
                <c:pt idx="22">
                  <c:v>43525</c:v>
                </c:pt>
                <c:pt idx="23">
                  <c:v>43556</c:v>
                </c:pt>
                <c:pt idx="24">
                  <c:v>43586</c:v>
                </c:pt>
                <c:pt idx="25">
                  <c:v>43617</c:v>
                </c:pt>
                <c:pt idx="26">
                  <c:v>43647</c:v>
                </c:pt>
                <c:pt idx="27">
                  <c:v>43678</c:v>
                </c:pt>
                <c:pt idx="28">
                  <c:v>43709</c:v>
                </c:pt>
                <c:pt idx="29">
                  <c:v>43739</c:v>
                </c:pt>
                <c:pt idx="30">
                  <c:v>43770</c:v>
                </c:pt>
                <c:pt idx="31">
                  <c:v>43800</c:v>
                </c:pt>
                <c:pt idx="32">
                  <c:v>43831</c:v>
                </c:pt>
                <c:pt idx="33">
                  <c:v>43862</c:v>
                </c:pt>
                <c:pt idx="34">
                  <c:v>43891</c:v>
                </c:pt>
                <c:pt idx="35">
                  <c:v>43922</c:v>
                </c:pt>
                <c:pt idx="36">
                  <c:v>43952</c:v>
                </c:pt>
                <c:pt idx="37">
                  <c:v>43983</c:v>
                </c:pt>
                <c:pt idx="38">
                  <c:v>44013</c:v>
                </c:pt>
                <c:pt idx="39">
                  <c:v>44044</c:v>
                </c:pt>
              </c:numCache>
            </c:numRef>
          </c:cat>
          <c:val>
            <c:numRef>
              <c:f>Sheet1!$E$26:$E$65</c:f>
              <c:numCache>
                <c:formatCode>0.00</c:formatCode>
                <c:ptCount val="40"/>
                <c:pt idx="0">
                  <c:v>3.03</c:v>
                </c:pt>
                <c:pt idx="1">
                  <c:v>3.04</c:v>
                </c:pt>
                <c:pt idx="2">
                  <c:v>2.86</c:v>
                </c:pt>
                <c:pt idx="3">
                  <c:v>3.5</c:v>
                </c:pt>
                <c:pt idx="4">
                  <c:v>3.37</c:v>
                </c:pt>
                <c:pt idx="5">
                  <c:v>3.08</c:v>
                </c:pt>
                <c:pt idx="6">
                  <c:v>3.12</c:v>
                </c:pt>
                <c:pt idx="7">
                  <c:v>3.52</c:v>
                </c:pt>
                <c:pt idx="8">
                  <c:v>3.79</c:v>
                </c:pt>
                <c:pt idx="9">
                  <c:v>3.85</c:v>
                </c:pt>
                <c:pt idx="10">
                  <c:v>3.73</c:v>
                </c:pt>
                <c:pt idx="11">
                  <c:v>4.2062499999999998</c:v>
                </c:pt>
                <c:pt idx="12">
                  <c:v>4.0742499999999993</c:v>
                </c:pt>
                <c:pt idx="13">
                  <c:v>3.1265000000000001</c:v>
                </c:pt>
                <c:pt idx="14">
                  <c:v>3.8194000000000004</c:v>
                </c:pt>
                <c:pt idx="15">
                  <c:v>4.5054499999999997</c:v>
                </c:pt>
                <c:pt idx="16">
                  <c:v>4.4987205882352939</c:v>
                </c:pt>
                <c:pt idx="17">
                  <c:v>3.6622500000000002</c:v>
                </c:pt>
                <c:pt idx="18">
                  <c:v>3.8595500000000005</c:v>
                </c:pt>
                <c:pt idx="19">
                  <c:v>3.2946500000000007</c:v>
                </c:pt>
                <c:pt idx="20">
                  <c:v>3.0993499999999998</c:v>
                </c:pt>
                <c:pt idx="21">
                  <c:v>3.5462500000000001</c:v>
                </c:pt>
                <c:pt idx="22">
                  <c:v>3.6808499999999995</c:v>
                </c:pt>
                <c:pt idx="23">
                  <c:v>3.4775499999999995</c:v>
                </c:pt>
                <c:pt idx="24">
                  <c:v>3.6692999999999998</c:v>
                </c:pt>
                <c:pt idx="25">
                  <c:v>3.4401000000000002</c:v>
                </c:pt>
                <c:pt idx="26">
                  <c:v>3.6986000000000003</c:v>
                </c:pt>
                <c:pt idx="27">
                  <c:v>3.1429499999999999</c:v>
                </c:pt>
                <c:pt idx="28">
                  <c:v>3.1379999999999999</c:v>
                </c:pt>
                <c:pt idx="29">
                  <c:v>3.2011500000000002</c:v>
                </c:pt>
                <c:pt idx="30">
                  <c:v>3.5266000000000002</c:v>
                </c:pt>
                <c:pt idx="31">
                  <c:v>3.4735499999999999</c:v>
                </c:pt>
                <c:pt idx="32">
                  <c:v>3.6183000000000005</c:v>
                </c:pt>
                <c:pt idx="33">
                  <c:v>3.8548499999999999</c:v>
                </c:pt>
                <c:pt idx="34">
                  <c:v>4.5679499999999997</c:v>
                </c:pt>
                <c:pt idx="35">
                  <c:v>4.3667999999999996</c:v>
                </c:pt>
                <c:pt idx="36">
                  <c:v>4.2384499999999994</c:v>
                </c:pt>
                <c:pt idx="37">
                  <c:v>4.1213499999999996</c:v>
                </c:pt>
                <c:pt idx="38">
                  <c:v>3.6980500000000003</c:v>
                </c:pt>
                <c:pt idx="39">
                  <c:v>3.7709999999999999</c:v>
                </c:pt>
              </c:numCache>
            </c:numRef>
          </c:val>
          <c:smooth val="0"/>
          <c:extLst>
            <c:ext xmlns:c16="http://schemas.microsoft.com/office/drawing/2014/chart" uri="{C3380CC4-5D6E-409C-BE32-E72D297353CC}">
              <c16:uniqueId val="{00000000-29B0-4D95-B8C3-8D3DD3BAFB50}"/>
            </c:ext>
          </c:extLst>
        </c:ser>
        <c:ser>
          <c:idx val="2"/>
          <c:order val="1"/>
          <c:spPr>
            <a:ln w="31750">
              <a:solidFill>
                <a:srgbClr val="00B050"/>
              </a:solidFill>
              <a:prstDash val="sysDash"/>
            </a:ln>
          </c:spPr>
          <c:marker>
            <c:symbol val="none"/>
          </c:marker>
          <c:cat>
            <c:numRef>
              <c:f>Sheet1!$D$26:$D$65</c:f>
              <c:numCache>
                <c:formatCode>mmm\-yy</c:formatCode>
                <c:ptCount val="40"/>
                <c:pt idx="0">
                  <c:v>42856</c:v>
                </c:pt>
                <c:pt idx="1">
                  <c:v>42887</c:v>
                </c:pt>
                <c:pt idx="2">
                  <c:v>42917</c:v>
                </c:pt>
                <c:pt idx="3">
                  <c:v>42948</c:v>
                </c:pt>
                <c:pt idx="4">
                  <c:v>42979</c:v>
                </c:pt>
                <c:pt idx="5">
                  <c:v>43009</c:v>
                </c:pt>
                <c:pt idx="6">
                  <c:v>43040</c:v>
                </c:pt>
                <c:pt idx="7">
                  <c:v>43070</c:v>
                </c:pt>
                <c:pt idx="8">
                  <c:v>43101</c:v>
                </c:pt>
                <c:pt idx="9">
                  <c:v>43132</c:v>
                </c:pt>
                <c:pt idx="10">
                  <c:v>43160</c:v>
                </c:pt>
                <c:pt idx="11">
                  <c:v>43191</c:v>
                </c:pt>
                <c:pt idx="12">
                  <c:v>43221</c:v>
                </c:pt>
                <c:pt idx="13">
                  <c:v>43252</c:v>
                </c:pt>
                <c:pt idx="14">
                  <c:v>43282</c:v>
                </c:pt>
                <c:pt idx="15">
                  <c:v>43313</c:v>
                </c:pt>
                <c:pt idx="16">
                  <c:v>43344</c:v>
                </c:pt>
                <c:pt idx="17">
                  <c:v>43374</c:v>
                </c:pt>
                <c:pt idx="18">
                  <c:v>43405</c:v>
                </c:pt>
                <c:pt idx="19">
                  <c:v>43435</c:v>
                </c:pt>
                <c:pt idx="20">
                  <c:v>43466</c:v>
                </c:pt>
                <c:pt idx="21">
                  <c:v>43497</c:v>
                </c:pt>
                <c:pt idx="22">
                  <c:v>43525</c:v>
                </c:pt>
                <c:pt idx="23">
                  <c:v>43556</c:v>
                </c:pt>
                <c:pt idx="24">
                  <c:v>43586</c:v>
                </c:pt>
                <c:pt idx="25">
                  <c:v>43617</c:v>
                </c:pt>
                <c:pt idx="26">
                  <c:v>43647</c:v>
                </c:pt>
                <c:pt idx="27">
                  <c:v>43678</c:v>
                </c:pt>
                <c:pt idx="28">
                  <c:v>43709</c:v>
                </c:pt>
                <c:pt idx="29">
                  <c:v>43739</c:v>
                </c:pt>
                <c:pt idx="30">
                  <c:v>43770</c:v>
                </c:pt>
                <c:pt idx="31">
                  <c:v>43800</c:v>
                </c:pt>
                <c:pt idx="32">
                  <c:v>43831</c:v>
                </c:pt>
                <c:pt idx="33">
                  <c:v>43862</c:v>
                </c:pt>
                <c:pt idx="34">
                  <c:v>43891</c:v>
                </c:pt>
                <c:pt idx="35">
                  <c:v>43922</c:v>
                </c:pt>
                <c:pt idx="36">
                  <c:v>43952</c:v>
                </c:pt>
                <c:pt idx="37">
                  <c:v>43983</c:v>
                </c:pt>
                <c:pt idx="38">
                  <c:v>44013</c:v>
                </c:pt>
                <c:pt idx="39">
                  <c:v>44044</c:v>
                </c:pt>
              </c:numCache>
            </c:numRef>
          </c:cat>
          <c:val>
            <c:numRef>
              <c:f>Sheet1!#REF!</c:f>
              <c:numCache>
                <c:formatCode>General</c:formatCode>
                <c:ptCount val="1"/>
                <c:pt idx="0">
                  <c:v>1</c:v>
                </c:pt>
              </c:numCache>
            </c:numRef>
          </c:val>
          <c:smooth val="0"/>
          <c:extLst>
            <c:ext xmlns:c16="http://schemas.microsoft.com/office/drawing/2014/chart" uri="{C3380CC4-5D6E-409C-BE32-E72D297353CC}">
              <c16:uniqueId val="{00000001-29B0-4D95-B8C3-8D3DD3BAFB50}"/>
            </c:ext>
          </c:extLst>
        </c:ser>
        <c:dLbls>
          <c:showLegendKey val="0"/>
          <c:showVal val="0"/>
          <c:showCatName val="0"/>
          <c:showSerName val="0"/>
          <c:showPercent val="0"/>
          <c:showBubbleSize val="0"/>
        </c:dLbls>
        <c:smooth val="0"/>
        <c:axId val="46747648"/>
        <c:axId val="292508160"/>
      </c:lineChart>
      <c:dateAx>
        <c:axId val="46747648"/>
        <c:scaling>
          <c:orientation val="minMax"/>
        </c:scaling>
        <c:delete val="0"/>
        <c:axPos val="b"/>
        <c:numFmt formatCode="mmm\-yy" sourceLinked="1"/>
        <c:majorTickMark val="out"/>
        <c:minorTickMark val="none"/>
        <c:tickLblPos val="nextTo"/>
        <c:txPr>
          <a:bodyPr rot="-5400000" vert="horz"/>
          <a:lstStyle/>
          <a:p>
            <a:pPr>
              <a:defRPr>
                <a:solidFill>
                  <a:sysClr val="windowText" lastClr="000000"/>
                </a:solidFill>
              </a:defRPr>
            </a:pPr>
            <a:endParaRPr lang="en-US"/>
          </a:p>
        </c:txPr>
        <c:crossAx val="292508160"/>
        <c:crosses val="autoZero"/>
        <c:auto val="1"/>
        <c:lblOffset val="100"/>
        <c:baseTimeUnit val="months"/>
        <c:majorUnit val="1"/>
        <c:majorTimeUnit val="months"/>
      </c:dateAx>
      <c:valAx>
        <c:axId val="292508160"/>
        <c:scaling>
          <c:orientation val="minMax"/>
          <c:max val="6"/>
          <c:min val="2"/>
        </c:scaling>
        <c:delete val="0"/>
        <c:axPos val="l"/>
        <c:majorGridlines>
          <c:spPr>
            <a:ln>
              <a:solidFill>
                <a:srgbClr val="0070C0"/>
              </a:solidFill>
            </a:ln>
          </c:spPr>
        </c:majorGridlines>
        <c:numFmt formatCode="#,##0" sourceLinked="0"/>
        <c:majorTickMark val="out"/>
        <c:minorTickMark val="none"/>
        <c:tickLblPos val="nextTo"/>
        <c:crossAx val="46747648"/>
        <c:crosses val="autoZero"/>
        <c:crossBetween val="between"/>
        <c:majorUnit val="1"/>
        <c:minorUnit val="0.5"/>
      </c:valAx>
    </c:plotArea>
    <c:plotVisOnly val="1"/>
    <c:dispBlanksAs val="gap"/>
    <c:showDLblsOverMax val="0"/>
  </c:chart>
  <c:spPr>
    <a:ln w="15875">
      <a:solidFill>
        <a:srgbClr val="0070C0"/>
      </a:solidFill>
    </a:ln>
  </c:spPr>
  <c:txPr>
    <a:bodyPr/>
    <a:lstStyle/>
    <a:p>
      <a:pPr>
        <a:defRPr>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28575" cap="rnd">
              <a:solidFill>
                <a:srgbClr val="002060"/>
              </a:solidFill>
              <a:round/>
            </a:ln>
            <a:effectLst/>
          </c:spPr>
          <c:marker>
            <c:symbol val="none"/>
          </c:marker>
          <c:cat>
            <c:numRef>
              <c:f>Sheet1!$Q$27:$Q$42</c:f>
              <c:numCache>
                <c:formatCode>mmm\-yy</c:formatCode>
                <c:ptCount val="16"/>
                <c:pt idx="0">
                  <c:v>43132</c:v>
                </c:pt>
                <c:pt idx="1">
                  <c:v>43191</c:v>
                </c:pt>
                <c:pt idx="2">
                  <c:v>43252</c:v>
                </c:pt>
                <c:pt idx="3">
                  <c:v>43313</c:v>
                </c:pt>
                <c:pt idx="4">
                  <c:v>43374</c:v>
                </c:pt>
                <c:pt idx="5">
                  <c:v>43435</c:v>
                </c:pt>
                <c:pt idx="6">
                  <c:v>43497</c:v>
                </c:pt>
                <c:pt idx="7">
                  <c:v>43556</c:v>
                </c:pt>
                <c:pt idx="8">
                  <c:v>43617</c:v>
                </c:pt>
                <c:pt idx="9">
                  <c:v>43678</c:v>
                </c:pt>
                <c:pt idx="10">
                  <c:v>43739</c:v>
                </c:pt>
                <c:pt idx="11">
                  <c:v>43800</c:v>
                </c:pt>
                <c:pt idx="12">
                  <c:v>43862</c:v>
                </c:pt>
                <c:pt idx="13">
                  <c:v>43922</c:v>
                </c:pt>
                <c:pt idx="14">
                  <c:v>43983</c:v>
                </c:pt>
                <c:pt idx="15">
                  <c:v>44044</c:v>
                </c:pt>
              </c:numCache>
            </c:numRef>
          </c:cat>
          <c:val>
            <c:numRef>
              <c:f>Sheet1!$R$27:$R$42</c:f>
              <c:numCache>
                <c:formatCode>0.00</c:formatCode>
                <c:ptCount val="16"/>
                <c:pt idx="0">
                  <c:v>4.0999999999999996</c:v>
                </c:pt>
                <c:pt idx="1">
                  <c:v>4.67</c:v>
                </c:pt>
                <c:pt idx="2">
                  <c:v>4.16</c:v>
                </c:pt>
                <c:pt idx="3">
                  <c:v>4.3600000000000003</c:v>
                </c:pt>
                <c:pt idx="4">
                  <c:v>4.07</c:v>
                </c:pt>
                <c:pt idx="5">
                  <c:v>3.83</c:v>
                </c:pt>
                <c:pt idx="6">
                  <c:v>3.3</c:v>
                </c:pt>
                <c:pt idx="7">
                  <c:v>3.85</c:v>
                </c:pt>
                <c:pt idx="8">
                  <c:v>3.73</c:v>
                </c:pt>
                <c:pt idx="9">
                  <c:v>3.7</c:v>
                </c:pt>
                <c:pt idx="10">
                  <c:v>3.8</c:v>
                </c:pt>
                <c:pt idx="11">
                  <c:v>4.22</c:v>
                </c:pt>
                <c:pt idx="12">
                  <c:v>4.0344499999999996</c:v>
                </c:pt>
                <c:pt idx="13">
                  <c:v>4.2</c:v>
                </c:pt>
                <c:pt idx="14">
                  <c:v>4.3033999999999999</c:v>
                </c:pt>
                <c:pt idx="15">
                  <c:v>4.3657103825136616</c:v>
                </c:pt>
              </c:numCache>
            </c:numRef>
          </c:val>
          <c:smooth val="0"/>
          <c:extLst>
            <c:ext xmlns:c16="http://schemas.microsoft.com/office/drawing/2014/chart" uri="{C3380CC4-5D6E-409C-BE32-E72D297353CC}">
              <c16:uniqueId val="{00000000-6E8A-4C82-9156-C420648A5889}"/>
            </c:ext>
          </c:extLst>
        </c:ser>
        <c:ser>
          <c:idx val="2"/>
          <c:order val="1"/>
          <c:spPr>
            <a:ln w="28575" cap="rnd">
              <a:solidFill>
                <a:srgbClr val="FF0000"/>
              </a:solidFill>
              <a:prstDash val="dash"/>
              <a:round/>
            </a:ln>
            <a:effectLst/>
          </c:spPr>
          <c:marker>
            <c:symbol val="none"/>
          </c:marker>
          <c:cat>
            <c:numRef>
              <c:f>Sheet1!$Q$27:$Q$42</c:f>
              <c:numCache>
                <c:formatCode>mmm\-yy</c:formatCode>
                <c:ptCount val="16"/>
                <c:pt idx="0">
                  <c:v>43132</c:v>
                </c:pt>
                <c:pt idx="1">
                  <c:v>43191</c:v>
                </c:pt>
                <c:pt idx="2">
                  <c:v>43252</c:v>
                </c:pt>
                <c:pt idx="3">
                  <c:v>43313</c:v>
                </c:pt>
                <c:pt idx="4">
                  <c:v>43374</c:v>
                </c:pt>
                <c:pt idx="5">
                  <c:v>43435</c:v>
                </c:pt>
                <c:pt idx="6">
                  <c:v>43497</c:v>
                </c:pt>
                <c:pt idx="7">
                  <c:v>43556</c:v>
                </c:pt>
                <c:pt idx="8">
                  <c:v>43617</c:v>
                </c:pt>
                <c:pt idx="9">
                  <c:v>43678</c:v>
                </c:pt>
                <c:pt idx="10">
                  <c:v>43739</c:v>
                </c:pt>
                <c:pt idx="11">
                  <c:v>43800</c:v>
                </c:pt>
                <c:pt idx="12">
                  <c:v>43862</c:v>
                </c:pt>
                <c:pt idx="13">
                  <c:v>43922</c:v>
                </c:pt>
                <c:pt idx="14">
                  <c:v>43983</c:v>
                </c:pt>
                <c:pt idx="15">
                  <c:v>44044</c:v>
                </c:pt>
              </c:numCache>
            </c:numRef>
          </c:cat>
          <c:val>
            <c:numRef>
              <c:f>Sheet1!$T$27:$T$42</c:f>
              <c:numCache>
                <c:formatCode>General</c:formatCode>
                <c:ptCount val="16"/>
                <c:pt idx="0">
                  <c:v>4</c:v>
                </c:pt>
                <c:pt idx="1">
                  <c:v>4</c:v>
                </c:pt>
                <c:pt idx="2">
                  <c:v>4</c:v>
                </c:pt>
                <c:pt idx="3">
                  <c:v>4</c:v>
                </c:pt>
                <c:pt idx="4">
                  <c:v>4</c:v>
                </c:pt>
                <c:pt idx="5">
                  <c:v>4</c:v>
                </c:pt>
                <c:pt idx="6">
                  <c:v>4</c:v>
                </c:pt>
                <c:pt idx="7">
                  <c:v>4</c:v>
                </c:pt>
                <c:pt idx="8">
                  <c:v>4</c:v>
                </c:pt>
                <c:pt idx="9">
                  <c:v>4</c:v>
                </c:pt>
                <c:pt idx="10">
                  <c:v>4</c:v>
                </c:pt>
                <c:pt idx="11">
                  <c:v>4</c:v>
                </c:pt>
                <c:pt idx="12">
                  <c:v>4</c:v>
                </c:pt>
                <c:pt idx="13">
                  <c:v>4</c:v>
                </c:pt>
                <c:pt idx="14">
                  <c:v>4</c:v>
                </c:pt>
                <c:pt idx="15">
                  <c:v>4</c:v>
                </c:pt>
              </c:numCache>
            </c:numRef>
          </c:val>
          <c:smooth val="0"/>
          <c:extLst>
            <c:ext xmlns:c16="http://schemas.microsoft.com/office/drawing/2014/chart" uri="{C3380CC4-5D6E-409C-BE32-E72D297353CC}">
              <c16:uniqueId val="{00000001-6E8A-4C82-9156-C420648A5889}"/>
            </c:ext>
          </c:extLst>
        </c:ser>
        <c:dLbls>
          <c:showLegendKey val="0"/>
          <c:showVal val="0"/>
          <c:showCatName val="0"/>
          <c:showSerName val="0"/>
          <c:showPercent val="0"/>
          <c:showBubbleSize val="0"/>
        </c:dLbls>
        <c:smooth val="0"/>
        <c:axId val="721209504"/>
        <c:axId val="721202848"/>
      </c:lineChart>
      <c:dateAx>
        <c:axId val="721209504"/>
        <c:scaling>
          <c:orientation val="minMax"/>
        </c:scaling>
        <c:delete val="0"/>
        <c:axPos val="b"/>
        <c:numFmt formatCode="mmm\-yy" sourceLinked="1"/>
        <c:majorTickMark val="out"/>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721202848"/>
        <c:crosses val="autoZero"/>
        <c:auto val="1"/>
        <c:lblOffset val="100"/>
        <c:baseTimeUnit val="months"/>
        <c:majorUnit val="2"/>
        <c:majorTimeUnit val="months"/>
      </c:dateAx>
      <c:valAx>
        <c:axId val="721202848"/>
        <c:scaling>
          <c:orientation val="minMax"/>
          <c:min val="2.5"/>
        </c:scaling>
        <c:delete val="0"/>
        <c:axPos val="l"/>
        <c:majorGridlines>
          <c:spPr>
            <a:ln w="9525" cap="flat" cmpd="sng" algn="ctr">
              <a:solidFill>
                <a:srgbClr val="0070C0"/>
              </a:solidFill>
              <a:round/>
            </a:ln>
            <a:effectLst/>
          </c:spPr>
        </c:majorGridlines>
        <c:numFmt formatCode="0.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721209504"/>
        <c:crosses val="autoZero"/>
        <c:crossBetween val="between"/>
      </c:valAx>
      <c:spPr>
        <a:noFill/>
        <a:ln>
          <a:noFill/>
        </a:ln>
        <a:effectLst/>
      </c:spPr>
    </c:plotArea>
    <c:plotVisOnly val="1"/>
    <c:dispBlanksAs val="gap"/>
    <c:showDLblsOverMax val="0"/>
  </c:chart>
  <c:spPr>
    <a:solidFill>
      <a:schemeClr val="bg1"/>
    </a:solidFill>
    <a:ln w="15875" cap="flat" cmpd="sng" algn="ctr">
      <a:solidFill>
        <a:srgbClr val="0070C0"/>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9.2604111986001755E-2"/>
          <c:y val="5.0925925925925923E-2"/>
          <c:w val="0.85972287839020123"/>
          <c:h val="0.78696704578594345"/>
        </c:manualLayout>
      </c:layout>
      <c:barChart>
        <c:barDir val="col"/>
        <c:grouping val="clustered"/>
        <c:varyColors val="0"/>
        <c:ser>
          <c:idx val="0"/>
          <c:order val="0"/>
          <c:tx>
            <c:strRef>
              <c:f>Question3!$AK$3</c:f>
              <c:strCache>
                <c:ptCount val="1"/>
                <c:pt idx="0">
                  <c:v>Apr-20</c:v>
                </c:pt>
              </c:strCache>
            </c:strRef>
          </c:tx>
          <c:spPr>
            <a:solidFill>
              <a:srgbClr val="7030A0"/>
            </a:solidFill>
          </c:spPr>
          <c:invertIfNegative val="0"/>
          <c:dLbls>
            <c:dLbl>
              <c:idx val="1"/>
              <c:layout>
                <c:manualLayout>
                  <c:x val="-2.4737167594310453E-3"/>
                  <c:y val="2.083333333333333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7961-49E5-B304-B8B92E816B8C}"/>
                </c:ext>
              </c:extLst>
            </c:dLbl>
            <c:dLbl>
              <c:idx val="3"/>
              <c:layout>
                <c:manualLayout>
                  <c:x val="0"/>
                  <c:y val="2.083333333333328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7961-49E5-B304-B8B92E816B8C}"/>
                </c:ext>
              </c:extLst>
            </c:dLbl>
            <c:numFmt formatCode="0%" sourceLinked="0"/>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Question3!$A$4:$A$9</c:f>
              <c:strCache>
                <c:ptCount val="6"/>
                <c:pt idx="0">
                  <c:v>Down (&lt; -1%)</c:v>
                </c:pt>
                <c:pt idx="1">
                  <c:v>About unchanged (-1% to 1%)</c:v>
                </c:pt>
                <c:pt idx="2">
                  <c:v>Up somewhat (1.1% to 3%)</c:v>
                </c:pt>
                <c:pt idx="3">
                  <c:v>Up moderately (3.1% to 6%)</c:v>
                </c:pt>
                <c:pt idx="4">
                  <c:v>Up significantly (6.1% to 10%)</c:v>
                </c:pt>
                <c:pt idx="5">
                  <c:v>Up very significantly ( &gt; 10%)</c:v>
                </c:pt>
              </c:strCache>
            </c:strRef>
          </c:cat>
          <c:val>
            <c:numRef>
              <c:f>Question3!$AK$4:$AK$9</c:f>
              <c:numCache>
                <c:formatCode>0.0%</c:formatCode>
                <c:ptCount val="6"/>
                <c:pt idx="0">
                  <c:v>0.15709999999999999</c:v>
                </c:pt>
                <c:pt idx="1">
                  <c:v>0.1429</c:v>
                </c:pt>
                <c:pt idx="2">
                  <c:v>0.1333</c:v>
                </c:pt>
                <c:pt idx="3">
                  <c:v>0.16189999999999999</c:v>
                </c:pt>
                <c:pt idx="4">
                  <c:v>0.1857</c:v>
                </c:pt>
                <c:pt idx="5">
                  <c:v>0.219</c:v>
                </c:pt>
              </c:numCache>
            </c:numRef>
          </c:val>
          <c:extLst>
            <c:ext xmlns:c16="http://schemas.microsoft.com/office/drawing/2014/chart" uri="{C3380CC4-5D6E-409C-BE32-E72D297353CC}">
              <c16:uniqueId val="{00000000-7961-49E5-B304-B8B92E816B8C}"/>
            </c:ext>
          </c:extLst>
        </c:ser>
        <c:ser>
          <c:idx val="1"/>
          <c:order val="1"/>
          <c:tx>
            <c:strRef>
              <c:f>Question3!$AL$3</c:f>
              <c:strCache>
                <c:ptCount val="1"/>
                <c:pt idx="0">
                  <c:v>May-20</c:v>
                </c:pt>
              </c:strCache>
            </c:strRef>
          </c:tx>
          <c:spPr>
            <a:solidFill>
              <a:srgbClr val="00B050"/>
            </a:solidFill>
          </c:spPr>
          <c:invertIfNegative val="0"/>
          <c:dLbls>
            <c:dLbl>
              <c:idx val="0"/>
              <c:layout>
                <c:manualLayout>
                  <c:x val="9.8948670377241813E-3"/>
                  <c:y val="5.208333333333333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7961-49E5-B304-B8B92E816B8C}"/>
                </c:ext>
              </c:extLst>
            </c:dLbl>
            <c:numFmt formatCode="0%" sourceLinked="0"/>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Question3!$A$4:$A$9</c:f>
              <c:strCache>
                <c:ptCount val="6"/>
                <c:pt idx="0">
                  <c:v>Down (&lt; -1%)</c:v>
                </c:pt>
                <c:pt idx="1">
                  <c:v>About unchanged (-1% to 1%)</c:v>
                </c:pt>
                <c:pt idx="2">
                  <c:v>Up somewhat (1.1% to 3%)</c:v>
                </c:pt>
                <c:pt idx="3">
                  <c:v>Up moderately (3.1% to 6%)</c:v>
                </c:pt>
                <c:pt idx="4">
                  <c:v>Up significantly (6.1% to 10%)</c:v>
                </c:pt>
                <c:pt idx="5">
                  <c:v>Up very significantly ( &gt; 10%)</c:v>
                </c:pt>
              </c:strCache>
            </c:strRef>
          </c:cat>
          <c:val>
            <c:numRef>
              <c:f>Question3!$AL$4:$AL$9</c:f>
              <c:numCache>
                <c:formatCode>0.0%</c:formatCode>
                <c:ptCount val="6"/>
                <c:pt idx="0">
                  <c:v>0.1484593837535014</c:v>
                </c:pt>
                <c:pt idx="1">
                  <c:v>0.1484593837535014</c:v>
                </c:pt>
                <c:pt idx="2">
                  <c:v>0.16806722689075632</c:v>
                </c:pt>
                <c:pt idx="3">
                  <c:v>0.16246498599439776</c:v>
                </c:pt>
                <c:pt idx="4">
                  <c:v>0.17366946778711484</c:v>
                </c:pt>
                <c:pt idx="5">
                  <c:v>0.19887955182072828</c:v>
                </c:pt>
              </c:numCache>
            </c:numRef>
          </c:val>
          <c:extLst>
            <c:ext xmlns:c16="http://schemas.microsoft.com/office/drawing/2014/chart" uri="{C3380CC4-5D6E-409C-BE32-E72D297353CC}">
              <c16:uniqueId val="{00000001-7961-49E5-B304-B8B92E816B8C}"/>
            </c:ext>
          </c:extLst>
        </c:ser>
        <c:ser>
          <c:idx val="2"/>
          <c:order val="2"/>
          <c:tx>
            <c:strRef>
              <c:f>Question3!$AM$3</c:f>
              <c:strCache>
                <c:ptCount val="1"/>
                <c:pt idx="0">
                  <c:v>Jun-20</c:v>
                </c:pt>
              </c:strCache>
            </c:strRef>
          </c:tx>
          <c:spPr>
            <a:solidFill>
              <a:srgbClr val="FF0000"/>
            </a:solidFill>
          </c:spPr>
          <c:invertIfNegative val="0"/>
          <c:dLbls>
            <c:dLbl>
              <c:idx val="5"/>
              <c:layout>
                <c:manualLayout>
                  <c:x val="1.2368583797155226E-2"/>
                  <c:y val="1.041666666666666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7961-49E5-B304-B8B92E816B8C}"/>
                </c:ext>
              </c:extLst>
            </c:dLbl>
            <c:numFmt formatCode="0%" sourceLinked="0"/>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Question3!$A$4:$A$9</c:f>
              <c:strCache>
                <c:ptCount val="6"/>
                <c:pt idx="0">
                  <c:v>Down (&lt; -1%)</c:v>
                </c:pt>
                <c:pt idx="1">
                  <c:v>About unchanged (-1% to 1%)</c:v>
                </c:pt>
                <c:pt idx="2">
                  <c:v>Up somewhat (1.1% to 3%)</c:v>
                </c:pt>
                <c:pt idx="3">
                  <c:v>Up moderately (3.1% to 6%)</c:v>
                </c:pt>
                <c:pt idx="4">
                  <c:v>Up significantly (6.1% to 10%)</c:v>
                </c:pt>
                <c:pt idx="5">
                  <c:v>Up very significantly ( &gt; 10%)</c:v>
                </c:pt>
              </c:strCache>
            </c:strRef>
          </c:cat>
          <c:val>
            <c:numRef>
              <c:f>Question3!$AM$4:$AM$9</c:f>
              <c:numCache>
                <c:formatCode>0.0%</c:formatCode>
                <c:ptCount val="6"/>
                <c:pt idx="0">
                  <c:v>0.10100000000000001</c:v>
                </c:pt>
                <c:pt idx="1">
                  <c:v>0.2</c:v>
                </c:pt>
                <c:pt idx="2">
                  <c:v>0.1263</c:v>
                </c:pt>
                <c:pt idx="3">
                  <c:v>0.2175</c:v>
                </c:pt>
                <c:pt idx="4">
                  <c:v>0.16489999999999999</c:v>
                </c:pt>
                <c:pt idx="5">
                  <c:v>0.19650000000000001</c:v>
                </c:pt>
              </c:numCache>
            </c:numRef>
          </c:val>
          <c:extLst>
            <c:ext xmlns:c16="http://schemas.microsoft.com/office/drawing/2014/chart" uri="{C3380CC4-5D6E-409C-BE32-E72D297353CC}">
              <c16:uniqueId val="{00000002-7961-49E5-B304-B8B92E816B8C}"/>
            </c:ext>
          </c:extLst>
        </c:ser>
        <c:ser>
          <c:idx val="3"/>
          <c:order val="3"/>
          <c:tx>
            <c:strRef>
              <c:f>Question3!$AN$3</c:f>
              <c:strCache>
                <c:ptCount val="1"/>
                <c:pt idx="0">
                  <c:v>Jul-20</c:v>
                </c:pt>
              </c:strCache>
            </c:strRef>
          </c:tx>
          <c:invertIfNegative val="0"/>
          <c:dLbls>
            <c:dLbl>
              <c:idx val="1"/>
              <c:layout>
                <c:manualLayout>
                  <c:x val="7.4211502782931356E-3"/>
                  <c:y val="5.208333333333333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7961-49E5-B304-B8B92E816B8C}"/>
                </c:ext>
              </c:extLst>
            </c:dLbl>
            <c:dLbl>
              <c:idx val="3"/>
              <c:layout>
                <c:manualLayout>
                  <c:x val="0"/>
                  <c:y val="2.083333333333330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7961-49E5-B304-B8B92E816B8C}"/>
                </c:ext>
              </c:extLst>
            </c:dLbl>
            <c:dLbl>
              <c:idx val="4"/>
              <c:layout>
                <c:manualLayout>
                  <c:x val="0"/>
                  <c:y val="1.562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7961-49E5-B304-B8B92E816B8C}"/>
                </c:ext>
              </c:extLst>
            </c:dLbl>
            <c:dLbl>
              <c:idx val="5"/>
              <c:layout>
                <c:manualLayout>
                  <c:x val="9.8948670377239992E-3"/>
                  <c:y val="1.041666666666666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7961-49E5-B304-B8B92E816B8C}"/>
                </c:ext>
              </c:extLst>
            </c:dLbl>
            <c:numFmt formatCode="0%" sourceLinked="0"/>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Question3!$A$4:$A$9</c:f>
              <c:strCache>
                <c:ptCount val="6"/>
                <c:pt idx="0">
                  <c:v>Down (&lt; -1%)</c:v>
                </c:pt>
                <c:pt idx="1">
                  <c:v>About unchanged (-1% to 1%)</c:v>
                </c:pt>
                <c:pt idx="2">
                  <c:v>Up somewhat (1.1% to 3%)</c:v>
                </c:pt>
                <c:pt idx="3">
                  <c:v>Up moderately (3.1% to 6%)</c:v>
                </c:pt>
                <c:pt idx="4">
                  <c:v>Up significantly (6.1% to 10%)</c:v>
                </c:pt>
                <c:pt idx="5">
                  <c:v>Up very significantly ( &gt; 10%)</c:v>
                </c:pt>
              </c:strCache>
            </c:strRef>
          </c:cat>
          <c:val>
            <c:numRef>
              <c:f>Question3!$AN$4:$AN$9</c:f>
              <c:numCache>
                <c:formatCode>0.0%</c:formatCode>
                <c:ptCount val="6"/>
                <c:pt idx="0">
                  <c:v>0.13739999999999999</c:v>
                </c:pt>
                <c:pt idx="1">
                  <c:v>0.1784</c:v>
                </c:pt>
                <c:pt idx="2">
                  <c:v>0.16669999999999999</c:v>
                </c:pt>
                <c:pt idx="3">
                  <c:v>0.20710000000000001</c:v>
                </c:pt>
                <c:pt idx="4">
                  <c:v>0.155</c:v>
                </c:pt>
                <c:pt idx="5">
                  <c:v>0.155</c:v>
                </c:pt>
              </c:numCache>
            </c:numRef>
          </c:val>
          <c:extLst>
            <c:ext xmlns:c16="http://schemas.microsoft.com/office/drawing/2014/chart" uri="{C3380CC4-5D6E-409C-BE32-E72D297353CC}">
              <c16:uniqueId val="{00000003-7961-49E5-B304-B8B92E816B8C}"/>
            </c:ext>
          </c:extLst>
        </c:ser>
        <c:ser>
          <c:idx val="4"/>
          <c:order val="4"/>
          <c:tx>
            <c:strRef>
              <c:f>Question3!$AO$3</c:f>
              <c:strCache>
                <c:ptCount val="1"/>
                <c:pt idx="0">
                  <c:v>Aug-20</c:v>
                </c:pt>
              </c:strCache>
            </c:strRef>
          </c:tx>
          <c:invertIfNegative val="0"/>
          <c:dLbls>
            <c:dLbl>
              <c:idx val="5"/>
              <c:layout>
                <c:manualLayout>
                  <c:x val="4.9474335188620907E-3"/>
                  <c:y val="1.562499999999995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7961-49E5-B304-B8B92E816B8C}"/>
                </c:ext>
              </c:extLst>
            </c:dLbl>
            <c:numFmt formatCode="0%" sourceLinked="0"/>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Question3!$A$4:$A$9</c:f>
              <c:strCache>
                <c:ptCount val="6"/>
                <c:pt idx="0">
                  <c:v>Down (&lt; -1%)</c:v>
                </c:pt>
                <c:pt idx="1">
                  <c:v>About unchanged (-1% to 1%)</c:v>
                </c:pt>
                <c:pt idx="2">
                  <c:v>Up somewhat (1.1% to 3%)</c:v>
                </c:pt>
                <c:pt idx="3">
                  <c:v>Up moderately (3.1% to 6%)</c:v>
                </c:pt>
                <c:pt idx="4">
                  <c:v>Up significantly (6.1% to 10%)</c:v>
                </c:pt>
                <c:pt idx="5">
                  <c:v>Up very significantly ( &gt; 10%)</c:v>
                </c:pt>
              </c:strCache>
            </c:strRef>
          </c:cat>
          <c:val>
            <c:numRef>
              <c:f>Question3!$AO$4:$AO$9</c:f>
              <c:numCache>
                <c:formatCode>0.0%</c:formatCode>
                <c:ptCount val="6"/>
                <c:pt idx="0">
                  <c:v>0.1646586345381526</c:v>
                </c:pt>
                <c:pt idx="1">
                  <c:v>0.11646586345381527</c:v>
                </c:pt>
                <c:pt idx="2">
                  <c:v>0.19678714859437751</c:v>
                </c:pt>
                <c:pt idx="3">
                  <c:v>0.23694779116465864</c:v>
                </c:pt>
                <c:pt idx="4">
                  <c:v>0.17269076305220885</c:v>
                </c:pt>
                <c:pt idx="5">
                  <c:v>0.11244979919678715</c:v>
                </c:pt>
              </c:numCache>
            </c:numRef>
          </c:val>
          <c:extLst>
            <c:ext xmlns:c16="http://schemas.microsoft.com/office/drawing/2014/chart" uri="{C3380CC4-5D6E-409C-BE32-E72D297353CC}">
              <c16:uniqueId val="{00000004-7961-49E5-B304-B8B92E816B8C}"/>
            </c:ext>
          </c:extLst>
        </c:ser>
        <c:dLbls>
          <c:showLegendKey val="0"/>
          <c:showVal val="0"/>
          <c:showCatName val="0"/>
          <c:showSerName val="0"/>
          <c:showPercent val="0"/>
          <c:showBubbleSize val="0"/>
        </c:dLbls>
        <c:gapWidth val="150"/>
        <c:axId val="71897088"/>
        <c:axId val="71468736"/>
      </c:barChart>
      <c:catAx>
        <c:axId val="71897088"/>
        <c:scaling>
          <c:orientation val="minMax"/>
        </c:scaling>
        <c:delete val="0"/>
        <c:axPos val="b"/>
        <c:numFmt formatCode="General" sourceLinked="0"/>
        <c:majorTickMark val="out"/>
        <c:minorTickMark val="none"/>
        <c:tickLblPos val="nextTo"/>
        <c:txPr>
          <a:bodyPr rot="0" vert="horz"/>
          <a:lstStyle/>
          <a:p>
            <a:pPr>
              <a:defRPr sz="900"/>
            </a:pPr>
            <a:endParaRPr lang="en-US"/>
          </a:p>
        </c:txPr>
        <c:crossAx val="71468736"/>
        <c:crosses val="autoZero"/>
        <c:auto val="1"/>
        <c:lblAlgn val="ctr"/>
        <c:lblOffset val="100"/>
        <c:noMultiLvlLbl val="0"/>
      </c:catAx>
      <c:valAx>
        <c:axId val="71468736"/>
        <c:scaling>
          <c:orientation val="minMax"/>
        </c:scaling>
        <c:delete val="0"/>
        <c:axPos val="l"/>
        <c:majorGridlines/>
        <c:numFmt formatCode="0%" sourceLinked="0"/>
        <c:majorTickMark val="out"/>
        <c:minorTickMark val="none"/>
        <c:tickLblPos val="nextTo"/>
        <c:txPr>
          <a:bodyPr/>
          <a:lstStyle/>
          <a:p>
            <a:pPr>
              <a:defRPr sz="900"/>
            </a:pPr>
            <a:endParaRPr lang="en-US"/>
          </a:p>
        </c:txPr>
        <c:crossAx val="71897088"/>
        <c:crosses val="autoZero"/>
        <c:crossBetween val="between"/>
      </c:valAx>
    </c:plotArea>
    <c:legend>
      <c:legendPos val="r"/>
      <c:layout>
        <c:manualLayout>
          <c:xMode val="edge"/>
          <c:yMode val="edge"/>
          <c:x val="4.7447835254359437E-2"/>
          <c:y val="2.0879360882809356E-2"/>
          <c:w val="0.4344526414717641"/>
          <c:h val="0.10245263137728222"/>
        </c:manualLayout>
      </c:layout>
      <c:overlay val="0"/>
      <c:txPr>
        <a:bodyPr/>
        <a:lstStyle/>
        <a:p>
          <a:pPr>
            <a:defRPr sz="900"/>
          </a:pPr>
          <a:endParaRPr lang="en-US"/>
        </a:p>
      </c:txPr>
    </c:legend>
    <c:plotVisOnly val="1"/>
    <c:dispBlanksAs val="gap"/>
    <c:showDLblsOverMax val="0"/>
  </c:chart>
  <c:spPr>
    <a:ln w="15875">
      <a:solidFill>
        <a:schemeClr val="accent1"/>
      </a:solidFill>
    </a:ln>
  </c:spPr>
  <c:txPr>
    <a:bodyPr/>
    <a:lstStyle/>
    <a:p>
      <a:pPr>
        <a:defRPr sz="800">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9.2604111986001755E-2"/>
          <c:y val="5.0925925925925923E-2"/>
          <c:w val="0.89454177602799645"/>
          <c:h val="0.7568740886555847"/>
        </c:manualLayout>
      </c:layout>
      <c:barChart>
        <c:barDir val="col"/>
        <c:grouping val="clustered"/>
        <c:varyColors val="0"/>
        <c:ser>
          <c:idx val="4"/>
          <c:order val="0"/>
          <c:tx>
            <c:strRef>
              <c:f>'Question 2'!$AJ$3</c:f>
              <c:strCache>
                <c:ptCount val="1"/>
                <c:pt idx="0">
                  <c:v>Mar-20</c:v>
                </c:pt>
              </c:strCache>
            </c:strRef>
          </c:tx>
          <c:invertIfNegative val="0"/>
          <c:dLbls>
            <c:dLbl>
              <c:idx val="1"/>
              <c:layout>
                <c:manualLayout>
                  <c:x val="-1.0296010296010343E-2"/>
                  <c:y val="2.645502645502645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C6CC-4337-BCAC-0554E15496FA}"/>
                </c:ext>
              </c:extLst>
            </c:dLbl>
            <c:dLbl>
              <c:idx val="2"/>
              <c:layout>
                <c:manualLayout>
                  <c:x val="-7.7220077220077222E-3"/>
                  <c:y val="1.058201058201058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C6CC-4337-BCAC-0554E15496FA}"/>
                </c:ext>
              </c:extLst>
            </c:dLbl>
            <c:dLbl>
              <c:idx val="3"/>
              <c:layout>
                <c:manualLayout>
                  <c:x val="-7.7220077220077222E-3"/>
                  <c:y val="1.058201058201048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C6CC-4337-BCAC-0554E15496FA}"/>
                </c:ext>
              </c:extLst>
            </c:dLbl>
            <c:numFmt formatCode="0%" sourceLinked="0"/>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'Question 2'!$A$4:$A$8</c:f>
              <c:strCache>
                <c:ptCount val="5"/>
                <c:pt idx="0">
                  <c:v>Much less than normal</c:v>
                </c:pt>
                <c:pt idx="1">
                  <c:v>Somewhat less than normal</c:v>
                </c:pt>
                <c:pt idx="2">
                  <c:v>About normal</c:v>
                </c:pt>
                <c:pt idx="3">
                  <c:v>Somewhat greater than normal</c:v>
                </c:pt>
                <c:pt idx="4">
                  <c:v>Much greater than normal</c:v>
                </c:pt>
              </c:strCache>
            </c:strRef>
          </c:cat>
          <c:val>
            <c:numRef>
              <c:f>'Question 2'!$AJ$4:$AJ$8</c:f>
              <c:numCache>
                <c:formatCode>0.00%</c:formatCode>
                <c:ptCount val="5"/>
                <c:pt idx="0">
                  <c:v>0.80589999999999995</c:v>
                </c:pt>
                <c:pt idx="1">
                  <c:v>0.12089999999999999</c:v>
                </c:pt>
                <c:pt idx="2">
                  <c:v>4.58E-2</c:v>
                </c:pt>
                <c:pt idx="3">
                  <c:v>1.2800000000000001E-2</c:v>
                </c:pt>
                <c:pt idx="4">
                  <c:v>1.47E-2</c:v>
                </c:pt>
              </c:numCache>
            </c:numRef>
          </c:val>
          <c:extLst>
            <c:ext xmlns:c16="http://schemas.microsoft.com/office/drawing/2014/chart" uri="{C3380CC4-5D6E-409C-BE32-E72D297353CC}">
              <c16:uniqueId val="{00000000-C6CC-4337-BCAC-0554E15496FA}"/>
            </c:ext>
          </c:extLst>
        </c:ser>
        <c:ser>
          <c:idx val="0"/>
          <c:order val="1"/>
          <c:tx>
            <c:strRef>
              <c:f>'Question 2'!$AK$3</c:f>
              <c:strCache>
                <c:ptCount val="1"/>
                <c:pt idx="0">
                  <c:v>May-20</c:v>
                </c:pt>
              </c:strCache>
            </c:strRef>
          </c:tx>
          <c:spPr>
            <a:solidFill>
              <a:srgbClr val="FF0000"/>
            </a:solidFill>
          </c:spPr>
          <c:invertIfNegative val="0"/>
          <c:dLbls>
            <c:dLbl>
              <c:idx val="1"/>
              <c:layout>
                <c:manualLayout>
                  <c:x val="-5.1480051480051478E-3"/>
                  <c:y val="1.587301587301577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C6CC-4337-BCAC-0554E15496FA}"/>
                </c:ext>
              </c:extLst>
            </c:dLbl>
            <c:numFmt formatCode="0%" sourceLinked="0"/>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'Question 2'!$A$4:$A$8</c:f>
              <c:strCache>
                <c:ptCount val="5"/>
                <c:pt idx="0">
                  <c:v>Much less than normal</c:v>
                </c:pt>
                <c:pt idx="1">
                  <c:v>Somewhat less than normal</c:v>
                </c:pt>
                <c:pt idx="2">
                  <c:v>About normal</c:v>
                </c:pt>
                <c:pt idx="3">
                  <c:v>Somewhat greater than normal</c:v>
                </c:pt>
                <c:pt idx="4">
                  <c:v>Much greater than normal</c:v>
                </c:pt>
              </c:strCache>
            </c:strRef>
          </c:cat>
          <c:val>
            <c:numRef>
              <c:f>'Question 2'!$AK$4:$AK$8</c:f>
              <c:numCache>
                <c:formatCode>0.0%</c:formatCode>
                <c:ptCount val="5"/>
                <c:pt idx="0">
                  <c:v>0.74789915966386555</c:v>
                </c:pt>
                <c:pt idx="1">
                  <c:v>0.16526610644257703</c:v>
                </c:pt>
                <c:pt idx="2">
                  <c:v>5.6022408963585436E-2</c:v>
                </c:pt>
                <c:pt idx="3">
                  <c:v>1.4005602240896359E-2</c:v>
                </c:pt>
                <c:pt idx="4">
                  <c:v>1.680672268907563E-2</c:v>
                </c:pt>
              </c:numCache>
            </c:numRef>
          </c:val>
          <c:extLst>
            <c:ext xmlns:c16="http://schemas.microsoft.com/office/drawing/2014/chart" uri="{C3380CC4-5D6E-409C-BE32-E72D297353CC}">
              <c16:uniqueId val="{00000001-C6CC-4337-BCAC-0554E15496FA}"/>
            </c:ext>
          </c:extLst>
        </c:ser>
        <c:ser>
          <c:idx val="1"/>
          <c:order val="2"/>
          <c:tx>
            <c:strRef>
              <c:f>'Question 2'!$AL$3</c:f>
              <c:strCache>
                <c:ptCount val="1"/>
                <c:pt idx="0">
                  <c:v>Jun-20</c:v>
                </c:pt>
              </c:strCache>
            </c:strRef>
          </c:tx>
          <c:spPr>
            <a:solidFill>
              <a:srgbClr val="00B050"/>
            </a:solidFill>
          </c:spPr>
          <c:invertIfNegative val="0"/>
          <c:dLbls>
            <c:dLbl>
              <c:idx val="0"/>
              <c:layout>
                <c:manualLayout>
                  <c:x val="7.7220077220077222E-3"/>
                  <c:y val="1.058201058201055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C6CC-4337-BCAC-0554E15496FA}"/>
                </c:ext>
              </c:extLst>
            </c:dLbl>
            <c:dLbl>
              <c:idx val="2"/>
              <c:layout>
                <c:manualLayout>
                  <c:x val="0"/>
                  <c:y val="2.116402116402116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C6CC-4337-BCAC-0554E15496FA}"/>
                </c:ext>
              </c:extLst>
            </c:dLbl>
            <c:numFmt formatCode="0%" sourceLinked="0"/>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'Question 2'!$A$4:$A$8</c:f>
              <c:strCache>
                <c:ptCount val="5"/>
                <c:pt idx="0">
                  <c:v>Much less than normal</c:v>
                </c:pt>
                <c:pt idx="1">
                  <c:v>Somewhat less than normal</c:v>
                </c:pt>
                <c:pt idx="2">
                  <c:v>About normal</c:v>
                </c:pt>
                <c:pt idx="3">
                  <c:v>Somewhat greater than normal</c:v>
                </c:pt>
                <c:pt idx="4">
                  <c:v>Much greater than normal</c:v>
                </c:pt>
              </c:strCache>
            </c:strRef>
          </c:cat>
          <c:val>
            <c:numRef>
              <c:f>'Question 2'!$AL$4:$AL$8</c:f>
              <c:numCache>
                <c:formatCode>0.0%</c:formatCode>
                <c:ptCount val="5"/>
                <c:pt idx="0">
                  <c:v>0.71089999999999998</c:v>
                </c:pt>
                <c:pt idx="1">
                  <c:v>0.20349999999999999</c:v>
                </c:pt>
                <c:pt idx="2">
                  <c:v>4.2099999999999999E-2</c:v>
                </c:pt>
                <c:pt idx="3">
                  <c:v>2.81E-2</c:v>
                </c:pt>
                <c:pt idx="4">
                  <c:v>1.7500000000000002E-2</c:v>
                </c:pt>
              </c:numCache>
            </c:numRef>
          </c:val>
          <c:extLst>
            <c:ext xmlns:c16="http://schemas.microsoft.com/office/drawing/2014/chart" uri="{C3380CC4-5D6E-409C-BE32-E72D297353CC}">
              <c16:uniqueId val="{00000002-C6CC-4337-BCAC-0554E15496FA}"/>
            </c:ext>
          </c:extLst>
        </c:ser>
        <c:ser>
          <c:idx val="2"/>
          <c:order val="3"/>
          <c:tx>
            <c:strRef>
              <c:f>'Question 2'!$AM$3</c:f>
              <c:strCache>
                <c:ptCount val="1"/>
                <c:pt idx="0">
                  <c:v>Jul-20</c:v>
                </c:pt>
              </c:strCache>
            </c:strRef>
          </c:tx>
          <c:invertIfNegative val="0"/>
          <c:dLbls>
            <c:dLbl>
              <c:idx val="0"/>
              <c:layout>
                <c:manualLayout>
                  <c:x val="1.0296010296010273E-2"/>
                  <c:y val="1.587301587301584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C6CC-4337-BCAC-0554E15496FA}"/>
                </c:ext>
              </c:extLst>
            </c:dLbl>
            <c:dLbl>
              <c:idx val="1"/>
              <c:layout>
                <c:manualLayout>
                  <c:x val="1.2870012870012869E-2"/>
                  <c:y val="-5.2910052910052907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C6CC-4337-BCAC-0554E15496FA}"/>
                </c:ext>
              </c:extLst>
            </c:dLbl>
            <c:dLbl>
              <c:idx val="3"/>
              <c:layout>
                <c:manualLayout>
                  <c:x val="2.5740025740026685E-3"/>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C6CC-4337-BCAC-0554E15496FA}"/>
                </c:ext>
              </c:extLst>
            </c:dLbl>
            <c:numFmt formatCode="0%" sourceLinked="0"/>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'Question 2'!$A$4:$A$8</c:f>
              <c:strCache>
                <c:ptCount val="5"/>
                <c:pt idx="0">
                  <c:v>Much less than normal</c:v>
                </c:pt>
                <c:pt idx="1">
                  <c:v>Somewhat less than normal</c:v>
                </c:pt>
                <c:pt idx="2">
                  <c:v>About normal</c:v>
                </c:pt>
                <c:pt idx="3">
                  <c:v>Somewhat greater than normal</c:v>
                </c:pt>
                <c:pt idx="4">
                  <c:v>Much greater than normal</c:v>
                </c:pt>
              </c:strCache>
            </c:strRef>
          </c:cat>
          <c:val>
            <c:numRef>
              <c:f>'Question 2'!$AM$4:$AM$8</c:f>
              <c:numCache>
                <c:formatCode>0.0%</c:formatCode>
                <c:ptCount val="5"/>
                <c:pt idx="0">
                  <c:v>0.65790000000000004</c:v>
                </c:pt>
                <c:pt idx="1">
                  <c:v>0.193</c:v>
                </c:pt>
                <c:pt idx="2">
                  <c:v>9.06E-2</c:v>
                </c:pt>
                <c:pt idx="3">
                  <c:v>4.3900000000000002E-2</c:v>
                </c:pt>
                <c:pt idx="4">
                  <c:v>1.46E-2</c:v>
                </c:pt>
              </c:numCache>
            </c:numRef>
          </c:val>
          <c:extLst>
            <c:ext xmlns:c16="http://schemas.microsoft.com/office/drawing/2014/chart" uri="{C3380CC4-5D6E-409C-BE32-E72D297353CC}">
              <c16:uniqueId val="{00000003-C6CC-4337-BCAC-0554E15496FA}"/>
            </c:ext>
          </c:extLst>
        </c:ser>
        <c:ser>
          <c:idx val="3"/>
          <c:order val="4"/>
          <c:tx>
            <c:strRef>
              <c:f>'Question 2'!$AN$3</c:f>
              <c:strCache>
                <c:ptCount val="1"/>
                <c:pt idx="0">
                  <c:v>Aug-20</c:v>
                </c:pt>
              </c:strCache>
            </c:strRef>
          </c:tx>
          <c:invertIfNegative val="0"/>
          <c:dLbls>
            <c:dLbl>
              <c:idx val="0"/>
              <c:layout>
                <c:manualLayout>
                  <c:x val="1.5444015444015444E-2"/>
                  <c:y val="1.587301587301587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C6CC-4337-BCAC-0554E15496FA}"/>
                </c:ext>
              </c:extLst>
            </c:dLbl>
            <c:dLbl>
              <c:idx val="1"/>
              <c:layout>
                <c:manualLayout>
                  <c:x val="2.316602316602312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C6CC-4337-BCAC-0554E15496FA}"/>
                </c:ext>
              </c:extLst>
            </c:dLbl>
            <c:dLbl>
              <c:idx val="2"/>
              <c:layout>
                <c:manualLayout>
                  <c:x val="7.7220077220076276E-3"/>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C6CC-4337-BCAC-0554E15496FA}"/>
                </c:ext>
              </c:extLst>
            </c:dLbl>
            <c:dLbl>
              <c:idx val="3"/>
              <c:layout>
                <c:manualLayout>
                  <c:x val="1.2870012870012869E-2"/>
                  <c:y val="-5.2910052910053879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C6CC-4337-BCAC-0554E15496FA}"/>
                </c:ext>
              </c:extLst>
            </c:dLbl>
            <c:numFmt formatCode="0%" sourceLinked="0"/>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'Question 2'!$A$4:$A$8</c:f>
              <c:strCache>
                <c:ptCount val="5"/>
                <c:pt idx="0">
                  <c:v>Much less than normal</c:v>
                </c:pt>
                <c:pt idx="1">
                  <c:v>Somewhat less than normal</c:v>
                </c:pt>
                <c:pt idx="2">
                  <c:v>About normal</c:v>
                </c:pt>
                <c:pt idx="3">
                  <c:v>Somewhat greater than normal</c:v>
                </c:pt>
                <c:pt idx="4">
                  <c:v>Much greater than normal</c:v>
                </c:pt>
              </c:strCache>
            </c:strRef>
          </c:cat>
          <c:val>
            <c:numRef>
              <c:f>'Question 2'!$AN$4:$AN$8</c:f>
              <c:numCache>
                <c:formatCode>0.0%</c:formatCode>
                <c:ptCount val="5"/>
                <c:pt idx="0">
                  <c:v>0.59036144578313254</c:v>
                </c:pt>
                <c:pt idx="1">
                  <c:v>0.2289156626506024</c:v>
                </c:pt>
                <c:pt idx="2">
                  <c:v>0.12048192771084337</c:v>
                </c:pt>
                <c:pt idx="3">
                  <c:v>4.4176706827309238E-2</c:v>
                </c:pt>
                <c:pt idx="4">
                  <c:v>1.6064257028112448E-2</c:v>
                </c:pt>
              </c:numCache>
            </c:numRef>
          </c:val>
          <c:extLst>
            <c:ext xmlns:c16="http://schemas.microsoft.com/office/drawing/2014/chart" uri="{C3380CC4-5D6E-409C-BE32-E72D297353CC}">
              <c16:uniqueId val="{00000004-C6CC-4337-BCAC-0554E15496FA}"/>
            </c:ext>
          </c:extLst>
        </c:ser>
        <c:dLbls>
          <c:showLegendKey val="0"/>
          <c:showVal val="0"/>
          <c:showCatName val="0"/>
          <c:showSerName val="0"/>
          <c:showPercent val="0"/>
          <c:showBubbleSize val="0"/>
        </c:dLbls>
        <c:gapWidth val="150"/>
        <c:axId val="71309824"/>
        <c:axId val="168369472"/>
      </c:barChart>
      <c:catAx>
        <c:axId val="71309824"/>
        <c:scaling>
          <c:orientation val="minMax"/>
        </c:scaling>
        <c:delete val="0"/>
        <c:axPos val="b"/>
        <c:numFmt formatCode="General" sourceLinked="0"/>
        <c:majorTickMark val="out"/>
        <c:minorTickMark val="none"/>
        <c:tickLblPos val="nextTo"/>
        <c:txPr>
          <a:bodyPr/>
          <a:lstStyle/>
          <a:p>
            <a:pPr>
              <a:defRPr sz="900"/>
            </a:pPr>
            <a:endParaRPr lang="en-US"/>
          </a:p>
        </c:txPr>
        <c:crossAx val="168369472"/>
        <c:crosses val="autoZero"/>
        <c:auto val="1"/>
        <c:lblAlgn val="ctr"/>
        <c:lblOffset val="100"/>
        <c:noMultiLvlLbl val="0"/>
      </c:catAx>
      <c:valAx>
        <c:axId val="168369472"/>
        <c:scaling>
          <c:orientation val="minMax"/>
        </c:scaling>
        <c:delete val="0"/>
        <c:axPos val="l"/>
        <c:majorGridlines/>
        <c:numFmt formatCode="0%" sourceLinked="0"/>
        <c:majorTickMark val="out"/>
        <c:minorTickMark val="none"/>
        <c:tickLblPos val="nextTo"/>
        <c:crossAx val="71309824"/>
        <c:crosses val="autoZero"/>
        <c:crossBetween val="between"/>
      </c:valAx>
    </c:plotArea>
    <c:legend>
      <c:legendPos val="r"/>
      <c:layout>
        <c:manualLayout>
          <c:xMode val="edge"/>
          <c:yMode val="edge"/>
          <c:x val="0.79270144356955385"/>
          <c:y val="0.13442512394284051"/>
          <c:w val="0.13425646318523082"/>
          <c:h val="0.3926891951006124"/>
        </c:manualLayout>
      </c:layout>
      <c:overlay val="0"/>
      <c:txPr>
        <a:bodyPr/>
        <a:lstStyle/>
        <a:p>
          <a:pPr>
            <a:defRPr sz="900"/>
          </a:pPr>
          <a:endParaRPr lang="en-US"/>
        </a:p>
      </c:txPr>
    </c:legend>
    <c:plotVisOnly val="1"/>
    <c:dispBlanksAs val="gap"/>
    <c:showDLblsOverMax val="0"/>
  </c:chart>
  <c:spPr>
    <a:ln w="15875">
      <a:solidFill>
        <a:schemeClr val="accent1"/>
      </a:solidFill>
    </a:ln>
  </c:spPr>
  <c:txPr>
    <a:bodyPr/>
    <a:lstStyle/>
    <a:p>
      <a:pPr>
        <a:defRPr sz="800">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9.2604111986001755E-2"/>
          <c:y val="5.0925925925925923E-2"/>
          <c:w val="0.88620844269466303"/>
          <c:h val="0.7568740886555847"/>
        </c:manualLayout>
      </c:layout>
      <c:barChart>
        <c:barDir val="col"/>
        <c:grouping val="clustered"/>
        <c:varyColors val="0"/>
        <c:ser>
          <c:idx val="2"/>
          <c:order val="0"/>
          <c:tx>
            <c:strRef>
              <c:f>Question1!$AJ$3</c:f>
              <c:strCache>
                <c:ptCount val="1"/>
                <c:pt idx="0">
                  <c:v>Mar-20</c:v>
                </c:pt>
              </c:strCache>
            </c:strRef>
          </c:tx>
          <c:invertIfNegative val="0"/>
          <c:dLbls>
            <c:dLbl>
              <c:idx val="1"/>
              <c:layout>
                <c:manualLayout>
                  <c:x val="-4.5672527974423803E-3"/>
                  <c:y val="1.403508771929824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E1E6-4233-86B5-54FAD6AF6DCC}"/>
                </c:ext>
              </c:extLst>
            </c:dLbl>
            <c:numFmt formatCode="0%" sourceLinked="0"/>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Question1!$A$4:$A$8</c:f>
              <c:strCache>
                <c:ptCount val="5"/>
                <c:pt idx="0">
                  <c:v>Much less than normal</c:v>
                </c:pt>
                <c:pt idx="1">
                  <c:v>Somewhat less than normal</c:v>
                </c:pt>
                <c:pt idx="2">
                  <c:v>About normal</c:v>
                </c:pt>
                <c:pt idx="3">
                  <c:v>Somewhat greater than normal</c:v>
                </c:pt>
                <c:pt idx="4">
                  <c:v>Much greater than normal</c:v>
                </c:pt>
              </c:strCache>
            </c:strRef>
          </c:cat>
          <c:val>
            <c:numRef>
              <c:f>Question1!$AJ$4:$AJ$8</c:f>
              <c:numCache>
                <c:formatCode>0.00%</c:formatCode>
                <c:ptCount val="5"/>
                <c:pt idx="0">
                  <c:v>0.78649999999999998</c:v>
                </c:pt>
                <c:pt idx="1">
                  <c:v>0.13</c:v>
                </c:pt>
                <c:pt idx="2">
                  <c:v>5.2999999999999999E-2</c:v>
                </c:pt>
                <c:pt idx="3">
                  <c:v>1.2800000000000001E-2</c:v>
                </c:pt>
                <c:pt idx="4">
                  <c:v>1.83E-2</c:v>
                </c:pt>
              </c:numCache>
            </c:numRef>
          </c:val>
          <c:extLst>
            <c:ext xmlns:c16="http://schemas.microsoft.com/office/drawing/2014/chart" uri="{C3380CC4-5D6E-409C-BE32-E72D297353CC}">
              <c16:uniqueId val="{00000000-E1E6-4233-86B5-54FAD6AF6DCC}"/>
            </c:ext>
          </c:extLst>
        </c:ser>
        <c:ser>
          <c:idx val="3"/>
          <c:order val="1"/>
          <c:tx>
            <c:strRef>
              <c:f>Question1!$AK$3</c:f>
              <c:strCache>
                <c:ptCount val="1"/>
                <c:pt idx="0">
                  <c:v>May-20</c:v>
                </c:pt>
              </c:strCache>
            </c:strRef>
          </c:tx>
          <c:invertIfNegative val="0"/>
          <c:dLbls>
            <c:numFmt formatCode="0%" sourceLinked="0"/>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Question1!$A$4:$A$8</c:f>
              <c:strCache>
                <c:ptCount val="5"/>
                <c:pt idx="0">
                  <c:v>Much less than normal</c:v>
                </c:pt>
                <c:pt idx="1">
                  <c:v>Somewhat less than normal</c:v>
                </c:pt>
                <c:pt idx="2">
                  <c:v>About normal</c:v>
                </c:pt>
                <c:pt idx="3">
                  <c:v>Somewhat greater than normal</c:v>
                </c:pt>
                <c:pt idx="4">
                  <c:v>Much greater than normal</c:v>
                </c:pt>
              </c:strCache>
            </c:strRef>
          </c:cat>
          <c:val>
            <c:numRef>
              <c:f>Question1!$AK$4:$AK$8</c:f>
              <c:numCache>
                <c:formatCode>0.0%</c:formatCode>
                <c:ptCount val="5"/>
                <c:pt idx="0">
                  <c:v>0.73961218836565101</c:v>
                </c:pt>
                <c:pt idx="1">
                  <c:v>0.14681440443213298</c:v>
                </c:pt>
                <c:pt idx="2">
                  <c:v>7.4792243767313013E-2</c:v>
                </c:pt>
                <c:pt idx="3">
                  <c:v>1.662049861495845E-2</c:v>
                </c:pt>
                <c:pt idx="4">
                  <c:v>2.2160664819944598E-2</c:v>
                </c:pt>
              </c:numCache>
            </c:numRef>
          </c:val>
          <c:extLst>
            <c:ext xmlns:c16="http://schemas.microsoft.com/office/drawing/2014/chart" uri="{C3380CC4-5D6E-409C-BE32-E72D297353CC}">
              <c16:uniqueId val="{00000001-E1E6-4233-86B5-54FAD6AF6DCC}"/>
            </c:ext>
          </c:extLst>
        </c:ser>
        <c:ser>
          <c:idx val="5"/>
          <c:order val="2"/>
          <c:tx>
            <c:strRef>
              <c:f>Question1!$AL$3</c:f>
              <c:strCache>
                <c:ptCount val="1"/>
                <c:pt idx="0">
                  <c:v>Jun-20</c:v>
                </c:pt>
              </c:strCache>
            </c:strRef>
          </c:tx>
          <c:invertIfNegative val="0"/>
          <c:dLbls>
            <c:numFmt formatCode="0%" sourceLinked="0"/>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Question1!$A$4:$A$8</c:f>
              <c:strCache>
                <c:ptCount val="5"/>
                <c:pt idx="0">
                  <c:v>Much less than normal</c:v>
                </c:pt>
                <c:pt idx="1">
                  <c:v>Somewhat less than normal</c:v>
                </c:pt>
                <c:pt idx="2">
                  <c:v>About normal</c:v>
                </c:pt>
                <c:pt idx="3">
                  <c:v>Somewhat greater than normal</c:v>
                </c:pt>
                <c:pt idx="4">
                  <c:v>Much greater than normal</c:v>
                </c:pt>
              </c:strCache>
            </c:strRef>
          </c:cat>
          <c:val>
            <c:numRef>
              <c:f>Question1!$AL$4:$AL$8</c:f>
              <c:numCache>
                <c:formatCode>0.0%</c:formatCode>
                <c:ptCount val="5"/>
                <c:pt idx="0">
                  <c:v>0.68159999999999998</c:v>
                </c:pt>
                <c:pt idx="1">
                  <c:v>0.18329999999999999</c:v>
                </c:pt>
                <c:pt idx="2">
                  <c:v>0.1053</c:v>
                </c:pt>
                <c:pt idx="3">
                  <c:v>2.1100000000000001E-2</c:v>
                </c:pt>
                <c:pt idx="4">
                  <c:v>1.0500000000000001E-2</c:v>
                </c:pt>
              </c:numCache>
            </c:numRef>
          </c:val>
          <c:extLst>
            <c:ext xmlns:c16="http://schemas.microsoft.com/office/drawing/2014/chart" uri="{C3380CC4-5D6E-409C-BE32-E72D297353CC}">
              <c16:uniqueId val="{00000002-E1E6-4233-86B5-54FAD6AF6DCC}"/>
            </c:ext>
          </c:extLst>
        </c:ser>
        <c:ser>
          <c:idx val="0"/>
          <c:order val="3"/>
          <c:tx>
            <c:strRef>
              <c:f>Question1!$AM$3</c:f>
              <c:strCache>
                <c:ptCount val="1"/>
                <c:pt idx="0">
                  <c:v>Jul-20</c:v>
                </c:pt>
              </c:strCache>
            </c:strRef>
          </c:tx>
          <c:spPr>
            <a:solidFill>
              <a:srgbClr val="002060"/>
            </a:solidFill>
          </c:spPr>
          <c:invertIfNegative val="0"/>
          <c:dLbls>
            <c:numFmt formatCode="0%" sourceLinked="0"/>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Question1!$A$4:$A$8</c:f>
              <c:strCache>
                <c:ptCount val="5"/>
                <c:pt idx="0">
                  <c:v>Much less than normal</c:v>
                </c:pt>
                <c:pt idx="1">
                  <c:v>Somewhat less than normal</c:v>
                </c:pt>
                <c:pt idx="2">
                  <c:v>About normal</c:v>
                </c:pt>
                <c:pt idx="3">
                  <c:v>Somewhat greater than normal</c:v>
                </c:pt>
                <c:pt idx="4">
                  <c:v>Much greater than normal</c:v>
                </c:pt>
              </c:strCache>
            </c:strRef>
          </c:cat>
          <c:val>
            <c:numRef>
              <c:f>Question1!$AM$4:$AM$8</c:f>
              <c:numCache>
                <c:formatCode>0.0%</c:formatCode>
                <c:ptCount val="5"/>
                <c:pt idx="0">
                  <c:v>0.62280000000000002</c:v>
                </c:pt>
                <c:pt idx="1">
                  <c:v>0.21049999999999999</c:v>
                </c:pt>
                <c:pt idx="2">
                  <c:v>0.13159999999999999</c:v>
                </c:pt>
                <c:pt idx="3">
                  <c:v>2.3400000000000001E-2</c:v>
                </c:pt>
                <c:pt idx="4">
                  <c:v>1.17E-2</c:v>
                </c:pt>
              </c:numCache>
            </c:numRef>
          </c:val>
          <c:extLst>
            <c:ext xmlns:c16="http://schemas.microsoft.com/office/drawing/2014/chart" uri="{C3380CC4-5D6E-409C-BE32-E72D297353CC}">
              <c16:uniqueId val="{00000003-E1E6-4233-86B5-54FAD6AF6DCC}"/>
            </c:ext>
          </c:extLst>
        </c:ser>
        <c:ser>
          <c:idx val="1"/>
          <c:order val="4"/>
          <c:tx>
            <c:strRef>
              <c:f>Question1!$AN$3</c:f>
              <c:strCache>
                <c:ptCount val="1"/>
                <c:pt idx="0">
                  <c:v>Aug-20</c:v>
                </c:pt>
              </c:strCache>
            </c:strRef>
          </c:tx>
          <c:spPr>
            <a:solidFill>
              <a:srgbClr val="FF0000"/>
            </a:solidFill>
          </c:spPr>
          <c:invertIfNegative val="0"/>
          <c:dLbls>
            <c:dLbl>
              <c:idx val="2"/>
              <c:layout>
                <c:manualLayout>
                  <c:x val="6.8508791961634239E-3"/>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E1E6-4233-86B5-54FAD6AF6DCC}"/>
                </c:ext>
              </c:extLst>
            </c:dLbl>
            <c:numFmt formatCode="0%" sourceLinked="0"/>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Question1!$A$4:$A$8</c:f>
              <c:strCache>
                <c:ptCount val="5"/>
                <c:pt idx="0">
                  <c:v>Much less than normal</c:v>
                </c:pt>
                <c:pt idx="1">
                  <c:v>Somewhat less than normal</c:v>
                </c:pt>
                <c:pt idx="2">
                  <c:v>About normal</c:v>
                </c:pt>
                <c:pt idx="3">
                  <c:v>Somewhat greater than normal</c:v>
                </c:pt>
                <c:pt idx="4">
                  <c:v>Much greater than normal</c:v>
                </c:pt>
              </c:strCache>
            </c:strRef>
          </c:cat>
          <c:val>
            <c:numRef>
              <c:f>Question1!$AN$4:$AN$8</c:f>
              <c:numCache>
                <c:formatCode>0.0%</c:formatCode>
                <c:ptCount val="5"/>
                <c:pt idx="0">
                  <c:v>0.5714285714285714</c:v>
                </c:pt>
                <c:pt idx="1">
                  <c:v>0.25793650793650796</c:v>
                </c:pt>
                <c:pt idx="2">
                  <c:v>0.11507936507936507</c:v>
                </c:pt>
                <c:pt idx="3">
                  <c:v>4.3650793650793648E-2</c:v>
                </c:pt>
                <c:pt idx="4">
                  <c:v>1.1904761904761904E-2</c:v>
                </c:pt>
              </c:numCache>
            </c:numRef>
          </c:val>
          <c:extLst>
            <c:ext xmlns:c16="http://schemas.microsoft.com/office/drawing/2014/chart" uri="{C3380CC4-5D6E-409C-BE32-E72D297353CC}">
              <c16:uniqueId val="{00000004-E1E6-4233-86B5-54FAD6AF6DCC}"/>
            </c:ext>
          </c:extLst>
        </c:ser>
        <c:dLbls>
          <c:showLegendKey val="0"/>
          <c:showVal val="0"/>
          <c:showCatName val="0"/>
          <c:showSerName val="0"/>
          <c:showPercent val="0"/>
          <c:showBubbleSize val="0"/>
        </c:dLbls>
        <c:gapWidth val="150"/>
        <c:axId val="71310848"/>
        <c:axId val="168367168"/>
      </c:barChart>
      <c:catAx>
        <c:axId val="71310848"/>
        <c:scaling>
          <c:orientation val="minMax"/>
        </c:scaling>
        <c:delete val="0"/>
        <c:axPos val="b"/>
        <c:numFmt formatCode="General" sourceLinked="0"/>
        <c:majorTickMark val="out"/>
        <c:minorTickMark val="none"/>
        <c:tickLblPos val="nextTo"/>
        <c:txPr>
          <a:bodyPr/>
          <a:lstStyle/>
          <a:p>
            <a:pPr>
              <a:defRPr sz="900"/>
            </a:pPr>
            <a:endParaRPr lang="en-US"/>
          </a:p>
        </c:txPr>
        <c:crossAx val="168367168"/>
        <c:crosses val="autoZero"/>
        <c:auto val="1"/>
        <c:lblAlgn val="ctr"/>
        <c:lblOffset val="100"/>
        <c:noMultiLvlLbl val="0"/>
      </c:catAx>
      <c:valAx>
        <c:axId val="168367168"/>
        <c:scaling>
          <c:orientation val="minMax"/>
        </c:scaling>
        <c:delete val="0"/>
        <c:axPos val="l"/>
        <c:majorGridlines/>
        <c:numFmt formatCode="0%" sourceLinked="0"/>
        <c:majorTickMark val="out"/>
        <c:minorTickMark val="none"/>
        <c:tickLblPos val="nextTo"/>
        <c:txPr>
          <a:bodyPr/>
          <a:lstStyle/>
          <a:p>
            <a:pPr>
              <a:defRPr sz="900"/>
            </a:pPr>
            <a:endParaRPr lang="en-US"/>
          </a:p>
        </c:txPr>
        <c:crossAx val="71310848"/>
        <c:crosses val="autoZero"/>
        <c:crossBetween val="between"/>
      </c:valAx>
    </c:plotArea>
    <c:legend>
      <c:legendPos val="r"/>
      <c:layout>
        <c:manualLayout>
          <c:xMode val="edge"/>
          <c:yMode val="edge"/>
          <c:x val="0.71214588801399825"/>
          <c:y val="8.3499198016914564E-2"/>
          <c:w val="0.10876282375635592"/>
          <c:h val="0.35898058810532829"/>
        </c:manualLayout>
      </c:layout>
      <c:overlay val="0"/>
      <c:txPr>
        <a:bodyPr/>
        <a:lstStyle/>
        <a:p>
          <a:pPr>
            <a:defRPr sz="900"/>
          </a:pPr>
          <a:endParaRPr lang="en-US"/>
        </a:p>
      </c:txPr>
    </c:legend>
    <c:plotVisOnly val="1"/>
    <c:dispBlanksAs val="gap"/>
    <c:showDLblsOverMax val="0"/>
  </c:chart>
  <c:spPr>
    <a:ln>
      <a:solidFill>
        <a:schemeClr val="accent1"/>
      </a:solidFill>
    </a:ln>
  </c:spPr>
  <c:txPr>
    <a:bodyPr/>
    <a:lstStyle/>
    <a:p>
      <a:pPr>
        <a:defRPr sz="800">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A5FD08-310B-4D4A-82B4-E8D297E9A6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891</Words>
  <Characters>5084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Mitaaly Naidu</cp:lastModifiedBy>
  <cp:revision>8</cp:revision>
  <cp:lastPrinted>2020-10-05T14:16:00Z</cp:lastPrinted>
  <dcterms:created xsi:type="dcterms:W3CDTF">2020-10-05T14:09:00Z</dcterms:created>
  <dcterms:modified xsi:type="dcterms:W3CDTF">2020-10-06T10:05:00Z</dcterms:modified>
</cp:coreProperties>
</file>